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720" w:hanging="413"/>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2012</w:t>
      </w:r>
    </w:p>
    <w:p>
      <w:pPr>
        <w:jc w:val="center"/>
        <w:spacing w:after="0"/>
        <w:rPr>
          <w:sz w:val="20"/>
          <w:szCs w:val="20"/>
          <w:color w:val="auto"/>
        </w:rPr>
      </w:pPr>
      <w:r>
        <w:rPr>
          <w:rFonts w:ascii="Arial" w:cs="Arial" w:eastAsia="Arial" w:hAnsi="Arial"/>
          <w:sz w:val="18"/>
          <w:szCs w:val="18"/>
          <w:color w:val="auto"/>
        </w:rPr>
        <w:t>or</w:t>
      </w:r>
    </w:p>
    <w:p>
      <w:pPr>
        <w:spacing w:after="0" w:line="124" w:lineRule="exact"/>
        <w:rPr>
          <w:sz w:val="24"/>
          <w:szCs w:val="24"/>
          <w:color w:val="auto"/>
        </w:rPr>
      </w:pPr>
    </w:p>
    <w:p>
      <w:pPr>
        <w:ind w:left="720" w:hanging="413"/>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3905885</wp:posOffset>
            </wp:positionH>
            <wp:positionV relativeFrom="paragraph">
              <wp:posOffset>-10795</wp:posOffset>
            </wp:positionV>
            <wp:extent cx="831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1-12298 (Regency Centers Corporation)</w:t>
      </w:r>
    </w:p>
    <w:p>
      <w:pPr>
        <w:jc w:val="center"/>
        <w:spacing w:after="0"/>
        <w:rPr>
          <w:sz w:val="20"/>
          <w:szCs w:val="20"/>
          <w:color w:val="auto"/>
        </w:rPr>
      </w:pPr>
      <w:r>
        <w:rPr>
          <w:rFonts w:ascii="Arial" w:cs="Arial" w:eastAsia="Arial" w:hAnsi="Arial"/>
          <w:sz w:val="18"/>
          <w:szCs w:val="18"/>
          <w:color w:val="auto"/>
        </w:rPr>
        <w:t>Commission File Number 0-24763 (Regency Centers, L.P.)</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REGENCY CENTERS CORPORATION</w:t>
      </w:r>
    </w:p>
    <w:p>
      <w:pPr>
        <w:jc w:val="center"/>
        <w:spacing w:after="0" w:line="235" w:lineRule="auto"/>
        <w:rPr>
          <w:sz w:val="20"/>
          <w:szCs w:val="20"/>
          <w:color w:val="auto"/>
        </w:rPr>
      </w:pPr>
      <w:r>
        <w:rPr>
          <w:rFonts w:ascii="Arial" w:cs="Arial" w:eastAsia="Arial" w:hAnsi="Arial"/>
          <w:sz w:val="32"/>
          <w:szCs w:val="32"/>
          <w:b w:val="1"/>
          <w:bCs w:val="1"/>
          <w:color w:val="auto"/>
        </w:rPr>
        <w:t>REGENCY CENTERS, L.P.</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86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rPr>
              <w:t>FLORIDA (REGENCY CENTERS CORPORATION)</w:t>
            </w:r>
          </w:p>
        </w:tc>
        <w:tc>
          <w:tcPr>
            <w:tcW w:w="4560" w:type="dxa"/>
            <w:vAlign w:val="bottom"/>
          </w:tcPr>
          <w:p>
            <w:pPr>
              <w:jc w:val="center"/>
              <w:ind w:right="819"/>
              <w:spacing w:after="0"/>
              <w:rPr>
                <w:sz w:val="20"/>
                <w:szCs w:val="20"/>
                <w:color w:val="auto"/>
              </w:rPr>
            </w:pPr>
            <w:r>
              <w:rPr>
                <w:rFonts w:ascii="Arial" w:cs="Arial" w:eastAsia="Arial" w:hAnsi="Arial"/>
                <w:sz w:val="16"/>
                <w:szCs w:val="16"/>
                <w:b w:val="1"/>
                <w:bCs w:val="1"/>
                <w:color w:val="auto"/>
                <w:w w:val="91"/>
              </w:rPr>
              <w:t>59-3191743</w:t>
            </w:r>
          </w:p>
        </w:tc>
      </w:tr>
      <w:tr>
        <w:trPr>
          <w:trHeight w:val="257"/>
        </w:trPr>
        <w:tc>
          <w:tcPr>
            <w:tcW w:w="686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8"/>
              </w:rPr>
              <w:t>DELAWARE (REGENCY CENTERS, L.P.)</w:t>
            </w:r>
          </w:p>
        </w:tc>
        <w:tc>
          <w:tcPr>
            <w:tcW w:w="4560" w:type="dxa"/>
            <w:vAlign w:val="bottom"/>
          </w:tcPr>
          <w:p>
            <w:pPr>
              <w:jc w:val="center"/>
              <w:ind w:right="819"/>
              <w:spacing w:after="0"/>
              <w:rPr>
                <w:sz w:val="20"/>
                <w:szCs w:val="20"/>
                <w:color w:val="auto"/>
              </w:rPr>
            </w:pPr>
            <w:r>
              <w:rPr>
                <w:rFonts w:ascii="Arial" w:cs="Arial" w:eastAsia="Arial" w:hAnsi="Arial"/>
                <w:sz w:val="16"/>
                <w:szCs w:val="16"/>
                <w:b w:val="1"/>
                <w:bCs w:val="1"/>
                <w:color w:val="auto"/>
                <w:w w:val="91"/>
              </w:rPr>
              <w:t>59-3429602</w:t>
            </w:r>
          </w:p>
        </w:tc>
      </w:tr>
      <w:tr>
        <w:trPr>
          <w:trHeight w:val="270"/>
        </w:trPr>
        <w:tc>
          <w:tcPr>
            <w:tcW w:w="6860" w:type="dxa"/>
            <w:vAlign w:val="bottom"/>
            <w:gridSpan w:val="2"/>
          </w:tcPr>
          <w:p>
            <w:pPr>
              <w:jc w:val="center"/>
              <w:ind w:right="136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560" w:type="dxa"/>
            <w:vAlign w:val="bottom"/>
          </w:tcPr>
          <w:p>
            <w:pPr>
              <w:jc w:val="center"/>
              <w:ind w:right="839"/>
              <w:spacing w:after="0"/>
              <w:rPr>
                <w:sz w:val="20"/>
                <w:szCs w:val="20"/>
                <w:color w:val="auto"/>
              </w:rPr>
            </w:pPr>
            <w:r>
              <w:rPr>
                <w:rFonts w:ascii="Arial" w:cs="Arial" w:eastAsia="Arial" w:hAnsi="Arial"/>
                <w:sz w:val="16"/>
                <w:szCs w:val="16"/>
                <w:color w:val="auto"/>
                <w:w w:val="95"/>
              </w:rPr>
              <w:t>(I.R.S. Employer Identification No.)</w:t>
            </w:r>
          </w:p>
        </w:tc>
      </w:tr>
      <w:tr>
        <w:trPr>
          <w:trHeight w:val="546"/>
        </w:trPr>
        <w:tc>
          <w:tcPr>
            <w:tcW w:w="686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1"/>
              </w:rPr>
              <w:t>One Independent Drive, Suite 114</w:t>
            </w:r>
          </w:p>
        </w:tc>
        <w:tc>
          <w:tcPr>
            <w:tcW w:w="4560" w:type="dxa"/>
            <w:vAlign w:val="bottom"/>
          </w:tcPr>
          <w:p>
            <w:pPr>
              <w:spacing w:after="0"/>
              <w:rPr>
                <w:sz w:val="24"/>
                <w:szCs w:val="24"/>
                <w:color w:val="auto"/>
              </w:rPr>
            </w:pPr>
          </w:p>
        </w:tc>
      </w:tr>
      <w:tr>
        <w:trPr>
          <w:trHeight w:val="210"/>
        </w:trPr>
        <w:tc>
          <w:tcPr>
            <w:tcW w:w="686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2"/>
              </w:rPr>
              <w:t>Jacksonville, Florida 32202</w:t>
            </w:r>
          </w:p>
        </w:tc>
        <w:tc>
          <w:tcPr>
            <w:tcW w:w="456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(904) 598-7000</w:t>
            </w:r>
          </w:p>
        </w:tc>
      </w:tr>
      <w:tr>
        <w:trPr>
          <w:trHeight w:val="270"/>
        </w:trPr>
        <w:tc>
          <w:tcPr>
            <w:tcW w:w="6860" w:type="dxa"/>
            <w:vAlign w:val="bottom"/>
            <w:gridSpan w:val="2"/>
          </w:tcPr>
          <w:p>
            <w:pPr>
              <w:jc w:val="center"/>
              <w:ind w:right="1360"/>
              <w:spacing w:after="0"/>
              <w:rPr>
                <w:sz w:val="20"/>
                <w:szCs w:val="20"/>
                <w:color w:val="auto"/>
              </w:rPr>
            </w:pPr>
            <w:r>
              <w:rPr>
                <w:rFonts w:ascii="Arial" w:cs="Arial" w:eastAsia="Arial" w:hAnsi="Arial"/>
                <w:sz w:val="16"/>
                <w:szCs w:val="16"/>
                <w:color w:val="auto"/>
                <w:w w:val="93"/>
              </w:rPr>
              <w:t>(Address of principal executive offices) (zip code)</w:t>
            </w:r>
          </w:p>
        </w:tc>
        <w:tc>
          <w:tcPr>
            <w:tcW w:w="4560" w:type="dxa"/>
            <w:vAlign w:val="bottom"/>
          </w:tcPr>
          <w:p>
            <w:pPr>
              <w:jc w:val="center"/>
              <w:ind w:right="81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92"/>
        </w:trPr>
        <w:tc>
          <w:tcPr>
            <w:tcW w:w="11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51"/>
        </w:trPr>
        <w:tc>
          <w:tcPr>
            <w:tcW w:w="6860" w:type="dxa"/>
            <w:vAlign w:val="bottom"/>
            <w:gridSpan w:val="2"/>
          </w:tcPr>
          <w:p>
            <w:pPr>
              <w:jc w:val="center"/>
              <w:ind w:left="4479"/>
              <w:spacing w:after="0"/>
              <w:rPr>
                <w:sz w:val="20"/>
                <w:szCs w:val="20"/>
                <w:color w:val="auto"/>
              </w:rPr>
            </w:pPr>
            <w:r>
              <w:rPr>
                <w:rFonts w:ascii="Arial" w:cs="Arial" w:eastAsia="Arial" w:hAnsi="Arial"/>
                <w:sz w:val="16"/>
                <w:szCs w:val="16"/>
                <w:b w:val="1"/>
                <w:bCs w:val="1"/>
                <w:color w:val="auto"/>
                <w:w w:val="90"/>
              </w:rPr>
              <w:t>Regency Centers Corporation</w:t>
            </w:r>
          </w:p>
        </w:tc>
        <w:tc>
          <w:tcPr>
            <w:tcW w:w="4560" w:type="dxa"/>
            <w:vAlign w:val="bottom"/>
          </w:tcPr>
          <w:p>
            <w:pPr>
              <w:spacing w:after="0"/>
              <w:rPr>
                <w:sz w:val="24"/>
                <w:szCs w:val="24"/>
                <w:color w:val="auto"/>
              </w:rPr>
            </w:pPr>
          </w:p>
        </w:tc>
      </w:tr>
      <w:tr>
        <w:trPr>
          <w:trHeight w:val="351"/>
        </w:trPr>
        <w:tc>
          <w:tcPr>
            <w:tcW w:w="6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6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17"/>
        </w:trPr>
        <w:tc>
          <w:tcPr>
            <w:tcW w:w="6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Common Stock, $.01 par value</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70"/>
        </w:trPr>
        <w:tc>
          <w:tcPr>
            <w:tcW w:w="6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6.625% Series 6 Cumulative Redeemable Preferred Stock, $.01 par value</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7"/>
        </w:trPr>
        <w:tc>
          <w:tcPr>
            <w:tcW w:w="6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6.000% Series 7 Cumulative Redeemable Preferred Stock, $.01 par value</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4020" w:type="dxa"/>
            <w:vAlign w:val="bottom"/>
            <w:gridSpan w:val="4"/>
          </w:tcPr>
          <w:p>
            <w:pPr>
              <w:jc w:val="center"/>
              <w:ind w:right="859"/>
              <w:spacing w:after="0"/>
              <w:rPr>
                <w:sz w:val="20"/>
                <w:szCs w:val="20"/>
                <w:color w:val="auto"/>
              </w:rPr>
            </w:pPr>
            <w:r>
              <w:rPr>
                <w:rFonts w:ascii="Arial" w:cs="Arial" w:eastAsia="Arial" w:hAnsi="Arial"/>
                <w:sz w:val="16"/>
                <w:szCs w:val="16"/>
                <w:b w:val="1"/>
                <w:bCs w:val="1"/>
                <w:color w:val="auto"/>
                <w:w w:val="89"/>
              </w:rPr>
              <w:t>Regency Centers, L.P.</w:t>
            </w:r>
          </w:p>
        </w:tc>
        <w:tc>
          <w:tcPr>
            <w:tcW w:w="8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65"/>
        </w:trPr>
        <w:tc>
          <w:tcPr>
            <w:tcW w:w="4180" w:type="dxa"/>
            <w:vAlign w:val="bottom"/>
          </w:tcPr>
          <w:p>
            <w:pPr>
              <w:ind w:left="2200"/>
              <w:spacing w:after="0"/>
              <w:rPr>
                <w:sz w:val="20"/>
                <w:szCs w:val="20"/>
                <w:color w:val="auto"/>
              </w:rPr>
            </w:pPr>
            <w:r>
              <w:rPr>
                <w:rFonts w:ascii="Arial" w:cs="Arial" w:eastAsia="Arial" w:hAnsi="Arial"/>
                <w:sz w:val="16"/>
                <w:szCs w:val="16"/>
                <w:b w:val="1"/>
                <w:bCs w:val="1"/>
                <w:color w:val="auto"/>
              </w:rPr>
              <w:t>Title of each class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3"/>
          </w:tcPr>
          <w:p>
            <w:pPr>
              <w:ind w:left="130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4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17"/>
        </w:trPr>
        <w:tc>
          <w:tcPr>
            <w:tcW w:w="4180" w:type="dxa"/>
            <w:vAlign w:val="bottom"/>
          </w:tcPr>
          <w:p>
            <w:pPr>
              <w:ind w:left="2640"/>
              <w:spacing w:after="0"/>
              <w:rPr>
                <w:sz w:val="20"/>
                <w:szCs w:val="20"/>
                <w:color w:val="auto"/>
              </w:rPr>
            </w:pPr>
            <w:r>
              <w:rPr>
                <w:rFonts w:ascii="Arial" w:cs="Arial" w:eastAsia="Arial" w:hAnsi="Arial"/>
                <w:sz w:val="16"/>
                <w:szCs w:val="16"/>
                <w:b w:val="1"/>
                <w:bCs w:val="1"/>
                <w:color w:val="auto"/>
              </w:rPr>
              <w:t>None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6"/>
                <w:szCs w:val="16"/>
                <w:b w:val="1"/>
                <w:bCs w:val="1"/>
                <w:color w:val="auto"/>
              </w:rPr>
              <w:t>N/A</w:t>
            </w:r>
          </w:p>
        </w:tc>
        <w:tc>
          <w:tcPr>
            <w:tcW w:w="2360" w:type="dxa"/>
            <w:vAlign w:val="bottom"/>
          </w:tcPr>
          <w:p>
            <w:pPr>
              <w:spacing w:after="0"/>
              <w:rPr>
                <w:sz w:val="18"/>
                <w:szCs w:val="18"/>
                <w:color w:val="auto"/>
              </w:rPr>
            </w:pPr>
          </w:p>
        </w:tc>
      </w:tr>
      <w:tr>
        <w:trPr>
          <w:trHeight w:val="230"/>
        </w:trPr>
        <w:tc>
          <w:tcPr>
            <w:tcW w:w="4180" w:type="dxa"/>
            <w:vAlign w:val="bottom"/>
          </w:tcPr>
          <w:p>
            <w:pPr>
              <w:spacing w:after="0"/>
              <w:rPr>
                <w:sz w:val="19"/>
                <w:szCs w:val="19"/>
                <w:color w:val="auto"/>
              </w:rPr>
            </w:pPr>
          </w:p>
        </w:tc>
        <w:tc>
          <w:tcPr>
            <w:tcW w:w="4020" w:type="dxa"/>
            <w:vAlign w:val="bottom"/>
            <w:gridSpan w:val="4"/>
          </w:tcPr>
          <w:p>
            <w:pPr>
              <w:jc w:val="center"/>
              <w:ind w:right="859"/>
              <w:spacing w:after="0"/>
              <w:rPr>
                <w:sz w:val="20"/>
                <w:szCs w:val="20"/>
                <w:color w:val="auto"/>
              </w:rPr>
            </w:pPr>
            <w:r>
              <w:rPr>
                <w:rFonts w:ascii="Arial" w:cs="Arial" w:eastAsia="Arial" w:hAnsi="Arial"/>
                <w:sz w:val="16"/>
                <w:szCs w:val="16"/>
                <w:b w:val="1"/>
                <w:bCs w:val="1"/>
                <w:color w:val="auto"/>
                <w:w w:val="91"/>
              </w:rPr>
              <w:t>________________________________</w:t>
            </w:r>
          </w:p>
        </w:tc>
        <w:tc>
          <w:tcPr>
            <w:tcW w:w="8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51"/>
        </w:trPr>
        <w:tc>
          <w:tcPr>
            <w:tcW w:w="8200" w:type="dxa"/>
            <w:vAlign w:val="bottom"/>
            <w:gridSpan w:val="5"/>
          </w:tcPr>
          <w:p>
            <w:pPr>
              <w:jc w:val="center"/>
              <w:ind w:left="315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1"/>
        </w:trPr>
        <w:tc>
          <w:tcPr>
            <w:tcW w:w="4180" w:type="dxa"/>
            <w:vAlign w:val="bottom"/>
          </w:tcPr>
          <w:p>
            <w:pPr>
              <w:spacing w:after="0"/>
              <w:rPr>
                <w:sz w:val="24"/>
                <w:szCs w:val="24"/>
                <w:color w:val="auto"/>
              </w:rPr>
            </w:pPr>
          </w:p>
        </w:tc>
        <w:tc>
          <w:tcPr>
            <w:tcW w:w="4020" w:type="dxa"/>
            <w:vAlign w:val="bottom"/>
            <w:gridSpan w:val="4"/>
          </w:tcPr>
          <w:p>
            <w:pPr>
              <w:jc w:val="center"/>
              <w:ind w:right="859"/>
              <w:spacing w:after="0"/>
              <w:rPr>
                <w:sz w:val="20"/>
                <w:szCs w:val="20"/>
                <w:color w:val="auto"/>
              </w:rPr>
            </w:pPr>
            <w:r>
              <w:rPr>
                <w:rFonts w:ascii="Arial" w:cs="Arial" w:eastAsia="Arial" w:hAnsi="Arial"/>
                <w:sz w:val="16"/>
                <w:szCs w:val="16"/>
                <w:b w:val="1"/>
                <w:bCs w:val="1"/>
                <w:color w:val="auto"/>
                <w:w w:val="91"/>
              </w:rPr>
              <w:t>Regency Centers Corporation: None</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1"/>
        </w:trPr>
        <w:tc>
          <w:tcPr>
            <w:tcW w:w="8200" w:type="dxa"/>
            <w:vAlign w:val="bottom"/>
            <w:gridSpan w:val="5"/>
          </w:tcPr>
          <w:p>
            <w:pPr>
              <w:jc w:val="center"/>
              <w:ind w:left="3139"/>
              <w:spacing w:after="0"/>
              <w:rPr>
                <w:sz w:val="20"/>
                <w:szCs w:val="20"/>
                <w:color w:val="auto"/>
              </w:rPr>
            </w:pPr>
            <w:r>
              <w:rPr>
                <w:rFonts w:ascii="Arial" w:cs="Arial" w:eastAsia="Arial" w:hAnsi="Arial"/>
                <w:sz w:val="16"/>
                <w:szCs w:val="16"/>
                <w:b w:val="1"/>
                <w:bCs w:val="1"/>
                <w:color w:val="auto"/>
                <w:w w:val="91"/>
              </w:rPr>
              <w:t xml:space="preserve">Regency Centers, L.P.: </w:t>
            </w:r>
            <w:r>
              <w:rPr>
                <w:rFonts w:ascii="Arial" w:cs="Arial" w:eastAsia="Arial" w:hAnsi="Arial"/>
                <w:sz w:val="16"/>
                <w:szCs w:val="16"/>
                <w:color w:val="auto"/>
                <w:w w:val="91"/>
              </w:rPr>
              <w:t>Class B Units of Partnership Interest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1"/>
        </w:trPr>
        <w:tc>
          <w:tcPr>
            <w:tcW w:w="8200" w:type="dxa"/>
            <w:vAlign w:val="bottom"/>
            <w:gridSpan w:val="5"/>
          </w:tcPr>
          <w:p>
            <w:pPr>
              <w:spacing w:after="0"/>
              <w:rPr>
                <w:sz w:val="20"/>
                <w:szCs w:val="20"/>
                <w:color w:val="auto"/>
              </w:rPr>
            </w:pPr>
            <w:r>
              <w:rPr>
                <w:rFonts w:ascii="Arial" w:cs="Arial" w:eastAsia="Arial" w:hAnsi="Arial"/>
                <w:sz w:val="16"/>
                <w:szCs w:val="16"/>
                <w:color w:val="auto"/>
                <w:w w:val="98"/>
              </w:rPr>
              <w:t>Indicate by check mark if the registrant is a well-known seasoned issuer, as defined in Rule 405 of the Securities Act.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1"/>
        </w:trPr>
        <w:tc>
          <w:tcPr>
            <w:tcW w:w="4180" w:type="dxa"/>
            <w:vAlign w:val="bottom"/>
          </w:tcPr>
          <w:p>
            <w:pPr>
              <w:ind w:left="1880"/>
              <w:spacing w:after="0"/>
              <w:rPr>
                <w:sz w:val="20"/>
                <w:szCs w:val="20"/>
                <w:color w:val="auto"/>
              </w:rPr>
            </w:pPr>
            <w:r>
              <w:rPr>
                <w:rFonts w:ascii="Arial" w:cs="Arial" w:eastAsia="Arial" w:hAnsi="Arial"/>
                <w:sz w:val="16"/>
                <w:szCs w:val="16"/>
                <w:b w:val="1"/>
                <w:bCs w:val="1"/>
                <w:color w:val="auto"/>
              </w:rPr>
              <w:t>Regency Centers Corporation</w:t>
            </w:r>
          </w:p>
        </w:tc>
        <w:tc>
          <w:tcPr>
            <w:tcW w:w="900" w:type="dxa"/>
            <w:vAlign w:val="bottom"/>
          </w:tcPr>
          <w:p>
            <w:pPr>
              <w:ind w:left="340"/>
              <w:spacing w:after="0"/>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tc>
        <w:tc>
          <w:tcPr>
            <w:tcW w:w="2380" w:type="dxa"/>
            <w:vAlign w:val="bottom"/>
          </w:tcPr>
          <w:p>
            <w:pPr>
              <w:ind w:left="600"/>
              <w:spacing w:after="0"/>
              <w:rPr>
                <w:sz w:val="20"/>
                <w:szCs w:val="20"/>
                <w:color w:val="auto"/>
              </w:rPr>
            </w:pPr>
            <w:r>
              <w:rPr>
                <w:rFonts w:ascii="Arial" w:cs="Arial" w:eastAsia="Arial" w:hAnsi="Arial"/>
                <w:sz w:val="16"/>
                <w:szCs w:val="16"/>
                <w:b w:val="1"/>
                <w:bCs w:val="1"/>
                <w:color w:val="auto"/>
              </w:rPr>
              <w:t>Regency Centers, L.P.</w:t>
            </w:r>
          </w:p>
        </w:tc>
        <w:tc>
          <w:tcPr>
            <w:tcW w:w="860" w:type="dxa"/>
            <w:vAlign w:val="bottom"/>
          </w:tcPr>
          <w:p>
            <w:pPr>
              <w:ind w:left="300"/>
              <w:spacing w:after="0"/>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p>
        </w:tc>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tc>
      </w:tr>
      <w:tr>
        <w:trPr>
          <w:trHeight w:val="351"/>
        </w:trPr>
        <w:tc>
          <w:tcPr>
            <w:tcW w:w="8200" w:type="dxa"/>
            <w:vAlign w:val="bottom"/>
            <w:gridSpan w:val="5"/>
          </w:tcPr>
          <w:p>
            <w:pPr>
              <w:spacing w:after="0"/>
              <w:rPr>
                <w:sz w:val="20"/>
                <w:szCs w:val="20"/>
                <w:color w:val="auto"/>
              </w:rPr>
            </w:pPr>
            <w:r>
              <w:rPr>
                <w:rFonts w:ascii="Arial" w:cs="Arial" w:eastAsia="Arial" w:hAnsi="Arial"/>
                <w:sz w:val="16"/>
                <w:szCs w:val="16"/>
                <w:color w:val="auto"/>
                <w:w w:val="98"/>
              </w:rPr>
              <w:t>Indicate by check mark if the registrant is not required to file reports pursuant to Section 13 or Section 15(d) of the Act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1"/>
        </w:trPr>
        <w:tc>
          <w:tcPr>
            <w:tcW w:w="4180" w:type="dxa"/>
            <w:vAlign w:val="bottom"/>
          </w:tcPr>
          <w:p>
            <w:pPr>
              <w:ind w:left="1880"/>
              <w:spacing w:after="0"/>
              <w:rPr>
                <w:sz w:val="20"/>
                <w:szCs w:val="20"/>
                <w:color w:val="auto"/>
              </w:rPr>
            </w:pPr>
            <w:r>
              <w:rPr>
                <w:rFonts w:ascii="Arial" w:cs="Arial" w:eastAsia="Arial" w:hAnsi="Arial"/>
                <w:sz w:val="16"/>
                <w:szCs w:val="16"/>
                <w:b w:val="1"/>
                <w:bCs w:val="1"/>
                <w:color w:val="auto"/>
              </w:rPr>
              <w:t>Regency Centers Corporation</w:t>
            </w:r>
          </w:p>
        </w:tc>
        <w:tc>
          <w:tcPr>
            <w:tcW w:w="900" w:type="dxa"/>
            <w:vAlign w:val="bottom"/>
          </w:tcPr>
          <w:p>
            <w:pPr>
              <w:ind w:left="340"/>
              <w:spacing w:after="0"/>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tc>
        <w:tc>
          <w:tcPr>
            <w:tcW w:w="2380" w:type="dxa"/>
            <w:vAlign w:val="bottom"/>
          </w:tcPr>
          <w:p>
            <w:pPr>
              <w:ind w:left="600"/>
              <w:spacing w:after="0"/>
              <w:rPr>
                <w:sz w:val="20"/>
                <w:szCs w:val="20"/>
                <w:color w:val="auto"/>
              </w:rPr>
            </w:pPr>
            <w:r>
              <w:rPr>
                <w:rFonts w:ascii="Arial" w:cs="Arial" w:eastAsia="Arial" w:hAnsi="Arial"/>
                <w:sz w:val="16"/>
                <w:szCs w:val="16"/>
                <w:b w:val="1"/>
                <w:bCs w:val="1"/>
                <w:color w:val="auto"/>
              </w:rPr>
              <w:t>Regency Centers, L.P.</w:t>
            </w:r>
          </w:p>
        </w:tc>
        <w:tc>
          <w:tcPr>
            <w:tcW w:w="860" w:type="dxa"/>
            <w:vAlign w:val="bottom"/>
          </w:tcPr>
          <w:p>
            <w:pPr>
              <w:ind w:left="300"/>
              <w:spacing w:after="0"/>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p>
        </w:tc>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tc>
      </w:tr>
    </w:tbl>
    <w:p>
      <w:pPr>
        <w:sectPr>
          <w:pgSz w:w="11900" w:h="16838" w:orient="portrait"/>
          <w:cols w:equalWidth="0" w:num="1">
            <w:col w:w="11420"/>
          </w:cols>
          <w:pgMar w:left="240" w:top="490" w:right="239" w:bottom="1440" w:gutter="0" w:footer="0" w:header="0"/>
        </w:sectPr>
      </w:pPr>
    </w:p>
    <w:bookmarkStart w:id="1" w:name="page2"/>
    <w:bookmarkEnd w:id="1"/>
    <w:p>
      <w:pPr>
        <w:ind w:right="18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p>
    <w:p>
      <w:pPr>
        <w:spacing w:after="0" w:line="17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5" w:lineRule="exact"/>
        <w:rPr>
          <w:sz w:val="20"/>
          <w:szCs w:val="20"/>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p>
    <w:p>
      <w:pPr>
        <w:spacing w:after="0" w:line="171" w:lineRule="exact"/>
        <w:rPr>
          <w:sz w:val="20"/>
          <w:szCs w:val="20"/>
          <w:color w:val="auto"/>
        </w:rPr>
      </w:pPr>
    </w:p>
    <w:p>
      <w:pPr>
        <w:spacing w:after="0" w:line="349"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68" w:lineRule="exact"/>
        <w:rPr>
          <w:sz w:val="20"/>
          <w:szCs w:val="20"/>
          <w:color w:val="auto"/>
        </w:rPr>
      </w:pPr>
    </w:p>
    <w:p>
      <w:pPr>
        <w:ind w:left="2680"/>
        <w:spacing w:after="0"/>
        <w:tabs>
          <w:tab w:leader="none" w:pos="5460" w:val="left"/>
          <w:tab w:leader="none" w:pos="6400" w:val="left"/>
          <w:tab w:leader="none" w:pos="864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4"/>
          <w:szCs w:val="14"/>
          <w:color w:val="auto"/>
        </w:rPr>
        <w:t>o</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20"/>
                <w:szCs w:val="20"/>
                <w:color w:val="auto"/>
              </w:rPr>
            </w:pPr>
            <w:r>
              <w:rPr>
                <w:rFonts w:ascii="Arial" w:cs="Arial" w:eastAsia="Arial" w:hAnsi="Arial"/>
                <w:sz w:val="16"/>
                <w:szCs w:val="16"/>
                <w:b w:val="1"/>
                <w:bCs w:val="1"/>
                <w:color w:val="auto"/>
              </w:rPr>
              <w:t>Regency Centers Corporation:</w:t>
            </w:r>
          </w:p>
        </w:tc>
        <w:tc>
          <w:tcPr>
            <w:tcW w:w="27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65"/>
        </w:trPr>
        <w:tc>
          <w:tcPr>
            <w:tcW w:w="28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720"/>
              <w:spacing w:after="0"/>
              <w:rPr>
                <w:sz w:val="20"/>
                <w:szCs w:val="20"/>
                <w:color w:val="auto"/>
              </w:rPr>
            </w:pPr>
            <w:r>
              <w:rPr>
                <w:rFonts w:ascii="Arial" w:cs="Arial" w:eastAsia="Arial" w:hAnsi="Arial"/>
                <w:sz w:val="16"/>
                <w:szCs w:val="16"/>
                <w:color w:val="auto"/>
              </w:rPr>
              <w:t>x</w:t>
            </w:r>
          </w:p>
        </w:tc>
        <w:tc>
          <w:tcPr>
            <w:tcW w:w="462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60"/>
              <w:spacing w:after="0"/>
              <w:rPr>
                <w:sz w:val="20"/>
                <w:szCs w:val="20"/>
                <w:color w:val="auto"/>
              </w:rPr>
            </w:pPr>
            <w:r>
              <w:rPr>
                <w:rFonts w:ascii="Arial" w:cs="Arial" w:eastAsia="Arial" w:hAnsi="Arial"/>
                <w:sz w:val="16"/>
                <w:szCs w:val="16"/>
                <w:color w:val="auto"/>
                <w:w w:val="89"/>
              </w:rPr>
              <w:t>o</w:t>
            </w:r>
          </w:p>
        </w:tc>
      </w:tr>
      <w:tr>
        <w:trPr>
          <w:trHeight w:val="270"/>
        </w:trPr>
        <w:tc>
          <w:tcPr>
            <w:tcW w:w="286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720"/>
              <w:spacing w:after="0"/>
              <w:rPr>
                <w:sz w:val="20"/>
                <w:szCs w:val="20"/>
                <w:color w:val="auto"/>
              </w:rPr>
            </w:pPr>
            <w:r>
              <w:rPr>
                <w:rFonts w:ascii="Arial" w:cs="Arial" w:eastAsia="Arial" w:hAnsi="Arial"/>
                <w:sz w:val="16"/>
                <w:szCs w:val="16"/>
                <w:color w:val="auto"/>
              </w:rPr>
              <w:t>o</w:t>
            </w:r>
          </w:p>
        </w:tc>
        <w:tc>
          <w:tcPr>
            <w:tcW w:w="462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60"/>
              <w:spacing w:after="0"/>
              <w:rPr>
                <w:sz w:val="20"/>
                <w:szCs w:val="20"/>
                <w:color w:val="auto"/>
              </w:rPr>
            </w:pPr>
            <w:r>
              <w:rPr>
                <w:rFonts w:ascii="Arial" w:cs="Arial" w:eastAsia="Arial" w:hAnsi="Arial"/>
                <w:sz w:val="16"/>
                <w:szCs w:val="16"/>
                <w:color w:val="auto"/>
                <w:w w:val="89"/>
              </w:rPr>
              <w:t>o</w:t>
            </w:r>
          </w:p>
        </w:tc>
      </w:tr>
      <w:tr>
        <w:trPr>
          <w:trHeight w:val="392"/>
        </w:trPr>
        <w:tc>
          <w:tcPr>
            <w:tcW w:w="2860" w:type="dxa"/>
            <w:vAlign w:val="bottom"/>
          </w:tcPr>
          <w:p>
            <w:pPr>
              <w:spacing w:after="0"/>
              <w:rPr>
                <w:sz w:val="20"/>
                <w:szCs w:val="20"/>
                <w:color w:val="auto"/>
              </w:rPr>
            </w:pPr>
            <w:r>
              <w:rPr>
                <w:rFonts w:ascii="Arial" w:cs="Arial" w:eastAsia="Arial" w:hAnsi="Arial"/>
                <w:sz w:val="16"/>
                <w:szCs w:val="16"/>
                <w:b w:val="1"/>
                <w:bCs w:val="1"/>
                <w:color w:val="auto"/>
              </w:rPr>
              <w:t>Regency Centers, L.P.:</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1"/>
        </w:trPr>
        <w:tc>
          <w:tcPr>
            <w:tcW w:w="28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720"/>
              <w:spacing w:after="0"/>
              <w:rPr>
                <w:sz w:val="20"/>
                <w:szCs w:val="20"/>
                <w:color w:val="auto"/>
              </w:rPr>
            </w:pPr>
            <w:r>
              <w:rPr>
                <w:rFonts w:ascii="Arial" w:cs="Arial" w:eastAsia="Arial" w:hAnsi="Arial"/>
                <w:sz w:val="16"/>
                <w:szCs w:val="16"/>
                <w:color w:val="auto"/>
              </w:rPr>
              <w:t>o</w:t>
            </w:r>
          </w:p>
        </w:tc>
        <w:tc>
          <w:tcPr>
            <w:tcW w:w="462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60"/>
              <w:spacing w:after="0"/>
              <w:rPr>
                <w:sz w:val="20"/>
                <w:szCs w:val="20"/>
                <w:color w:val="auto"/>
              </w:rPr>
            </w:pPr>
            <w:r>
              <w:rPr>
                <w:rFonts w:ascii="Arial" w:cs="Arial" w:eastAsia="Arial" w:hAnsi="Arial"/>
                <w:sz w:val="16"/>
                <w:szCs w:val="16"/>
                <w:color w:val="auto"/>
                <w:w w:val="99"/>
              </w:rPr>
              <w:t>x</w:t>
            </w:r>
          </w:p>
        </w:tc>
      </w:tr>
      <w:tr>
        <w:trPr>
          <w:trHeight w:val="257"/>
        </w:trPr>
        <w:tc>
          <w:tcPr>
            <w:tcW w:w="286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720"/>
              <w:spacing w:after="0"/>
              <w:rPr>
                <w:sz w:val="20"/>
                <w:szCs w:val="20"/>
                <w:color w:val="auto"/>
              </w:rPr>
            </w:pPr>
            <w:r>
              <w:rPr>
                <w:rFonts w:ascii="Arial" w:cs="Arial" w:eastAsia="Arial" w:hAnsi="Arial"/>
                <w:sz w:val="16"/>
                <w:szCs w:val="16"/>
                <w:color w:val="auto"/>
              </w:rPr>
              <w:t>o</w:t>
            </w:r>
          </w:p>
        </w:tc>
        <w:tc>
          <w:tcPr>
            <w:tcW w:w="462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60"/>
              <w:spacing w:after="0"/>
              <w:rPr>
                <w:sz w:val="20"/>
                <w:szCs w:val="20"/>
                <w:color w:val="auto"/>
              </w:rPr>
            </w:pPr>
            <w:r>
              <w:rPr>
                <w:rFonts w:ascii="Arial" w:cs="Arial" w:eastAsia="Arial" w:hAnsi="Arial"/>
                <w:sz w:val="16"/>
                <w:szCs w:val="16"/>
                <w:color w:val="auto"/>
                <w:w w:val="89"/>
              </w:rPr>
              <w:t>o</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63" w:lineRule="exact"/>
        <w:rPr>
          <w:sz w:val="20"/>
          <w:szCs w:val="20"/>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rFonts w:ascii="Arial" w:cs="Arial" w:eastAsia="Arial" w:hAnsi="Arial"/>
          <w:sz w:val="16"/>
          <w:szCs w:val="16"/>
          <w:b w:val="1"/>
          <w:bCs w:val="1"/>
          <w:color w:val="auto"/>
        </w:rPr>
        <w:tab/>
        <w:t xml:space="preserve">NO  </w:t>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rFonts w:ascii="Arial" w:cs="Arial" w:eastAsia="Arial" w:hAnsi="Arial"/>
          <w:sz w:val="16"/>
          <w:szCs w:val="16"/>
          <w:b w:val="1"/>
          <w:bCs w:val="1"/>
          <w:color w:val="auto"/>
        </w:rPr>
        <w:tab/>
        <w:t xml:space="preserve">NO </w:t>
      </w:r>
      <w:r>
        <w:rPr>
          <w:rFonts w:ascii="Arial" w:cs="Arial" w:eastAsia="Arial" w:hAnsi="Arial"/>
          <w:sz w:val="16"/>
          <w:szCs w:val="16"/>
          <w:color w:val="auto"/>
        </w:rPr>
        <w:t>x</w:t>
      </w:r>
    </w:p>
    <w:p>
      <w:pPr>
        <w:spacing w:after="0" w:line="171"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91" w:lineRule="exact"/>
        <w:rPr>
          <w:sz w:val="20"/>
          <w:szCs w:val="20"/>
          <w:color w:val="auto"/>
        </w:rPr>
      </w:pPr>
    </w:p>
    <w:p>
      <w:pPr>
        <w:ind w:left="2280"/>
        <w:spacing w:after="0"/>
        <w:tabs>
          <w:tab w:leader="none" w:pos="4900" w:val="left"/>
          <w:tab w:leader="none" w:pos="6760" w:val="left"/>
          <w:tab w:leader="none" w:pos="884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color w:val="auto"/>
        </w:rPr>
        <w:t>$ 4,187,374,700</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color w:val="auto"/>
        </w:rPr>
        <w:t>N/A</w:t>
      </w:r>
    </w:p>
    <w:p>
      <w:pPr>
        <w:spacing w:after="0" w:line="171" w:lineRule="exact"/>
        <w:rPr>
          <w:sz w:val="20"/>
          <w:szCs w:val="20"/>
          <w:color w:val="auto"/>
        </w:rPr>
      </w:pPr>
    </w:p>
    <w:p>
      <w:pPr>
        <w:jc w:val="center"/>
        <w:ind w:right="2580"/>
        <w:spacing w:after="0"/>
        <w:rPr>
          <w:sz w:val="20"/>
          <w:szCs w:val="20"/>
          <w:color w:val="auto"/>
        </w:rPr>
      </w:pPr>
      <w:r>
        <w:rPr>
          <w:rFonts w:ascii="Arial" w:cs="Arial" w:eastAsia="Arial" w:hAnsi="Arial"/>
          <w:sz w:val="14"/>
          <w:szCs w:val="14"/>
          <w:color w:val="auto"/>
        </w:rPr>
        <w:t>The number of shares outstanding of the Regency Centers Corporation’s voting common stock was 90,395,745 as of February 21, 2013.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Portions of Regency Centers Corporation's proxy statement in connection with its 2013 Annual Meeting of Stockholders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175"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This report combines the annual reports on Form 10-K for the year ended December 31, 2012 of Regency Centers Corporation and Regency Centers, L.P. Unless stated otherwise or the context otherwise requires, references to “Regency Centers Corporation” or the “Parent Company” mean Regency Centers Corporation and its controlled subsidiaries; and references to “Regency Centers, L.P.” or the “Operating Partnership” mean Regency Centers, L.P. and its controlled subsidiaries. The term “the Company” or “Regency” means the Parent Company and the Operating Partnership, collectively.</w:t>
      </w:r>
    </w:p>
    <w:p>
      <w:pPr>
        <w:spacing w:after="0" w:line="10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Parent Company is a real estate investment trust (“REIT”) and the general partner of the Operating Partnership. The Operating Partnership's capital includes general and limited common Partnership Units (“Units”). As of December 31, 2012, the Parent Company owned approximately 99.8% of the Units in the Operating Partnership and the remaining limited Units are owned by investors. The Parent Company owns all of the Series 6 and 7 Preferred Units of the Operating Partnership. As the sole general partner of the Operating Partnership, the Parent Company has exclusive control of the Operating Partnership's day-to-day management.</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believes combining the annual reports on Form 10-K of the Parent Company and the Operating Partnership into this single report provides the following benefits:</w:t>
      </w:r>
    </w:p>
    <w:p>
      <w:pPr>
        <w:spacing w:after="0" w:line="170" w:lineRule="exact"/>
        <w:rPr>
          <w:sz w:val="20"/>
          <w:szCs w:val="20"/>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the Parent Company and the Operating Partnership by enabling investors to view the business as a whole in the same manner as management views and operates the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streamlined and readable presentation;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Management operates the Parent Company and the Operating Partnership as one business. The management of the Parent Company consists of the same individuals as the management of the Operating Partnership. These individuals are officers of the Parent Company and employees of the Operating Partnership.</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believes it is important to understand the few differences between the Parent Company and the Operating Partnership in the context of how the Parent Company and the Operating Partnership operate as a consolidated company. The Parent Company is a REIT, whose only material asset is its ownership of partnership interests of the Operating Partnership. As a result, the Parent Company does not conduct business itself, other than acting as the sole general partner of the Operating Partnership, issuing public equity from time to time and guaranteeing certain debt of the Operating Partnership. The Parent Company does not hold any indebtedness, but guarantees all of the unsecured public debt and approximately 18% of the secured debt of the Operating Partnership. The Operating Partnership holds all the assets of the Company and retains the ownership interests in the Company's joint ventures. Except for net proceeds from public equity issuances by the Parent Company, which are contributed to the Operating Partnership in exchange for partnership units, the Operating Partnership generates all remaining capital required by the Company's business. These sources include the Operating Partnership's operations, its direct or indirect incurrence of indebtedness, and the issuance of partnership units.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Stockholders' equity, partners' capital, and noncontrolling interests are the main areas of difference between the consolidated financial statements of the Parent Company and those of the Operating Partnership. The Operating Partnership's capital includes general and limited common Partnership Units, as well as Series 6 and 7 Preferred Units owned by the Parent Company. The limited partners' units in the Operating Partnership owned by third parties are accounted for in partners' capital in the Operating Partnership's financial statements and outside of stockholders' equity in noncontrolling interests in the Parent Company's financial statements. The Series 6 and 7 Preferred Units owned by the Parent Company are eliminated in consolidation in the accompanying consolidated financial statements of the Parent Company and are classified as preferred units of general partner in the accompanying consolidated financial statements of the Operating Partnership.</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general partner with control of the Operating Partnership, 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60" w:type="dxa"/>
            <w:vAlign w:val="bottom"/>
            <w:gridSpan w:val="8"/>
          </w:tcPr>
          <w:p>
            <w:pPr>
              <w:ind w:left="6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Item No.</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Report Page</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98"/>
              </w:rPr>
              <w:t>PART I</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680" w:type="dxa"/>
            <w:vAlign w:val="bottom"/>
            <w:gridSpan w:val="18"/>
          </w:tcPr>
          <w:p>
            <w:pPr>
              <w:spacing w:after="0"/>
              <w:rPr>
                <w:sz w:val="24"/>
                <w:szCs w:val="24"/>
                <w:color w:val="auto"/>
              </w:rPr>
            </w:pPr>
          </w:p>
        </w:tc>
        <w:tc>
          <w:tcPr>
            <w:tcW w:w="102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1A.</w:t>
            </w:r>
          </w:p>
        </w:tc>
        <w:tc>
          <w:tcPr>
            <w:tcW w:w="40" w:type="dxa"/>
            <w:vAlign w:val="bottom"/>
          </w:tcPr>
          <w:p>
            <w:pPr>
              <w:spacing w:after="0"/>
              <w:rPr>
                <w:sz w:val="24"/>
                <w:szCs w:val="24"/>
                <w:color w:val="auto"/>
              </w:rPr>
            </w:pPr>
          </w:p>
        </w:tc>
        <w:tc>
          <w:tcPr>
            <w:tcW w:w="90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8">
              <w:r>
                <w:rPr>
                  <w:rFonts w:ascii="Arial" w:cs="Arial" w:eastAsia="Arial" w:hAnsi="Arial"/>
                  <w:sz w:val="18"/>
                  <w:szCs w:val="18"/>
                  <w:color w:val="0000FF"/>
                  <w:w w:val="87"/>
                </w:rPr>
                <w:t>Risk Factors</w:t>
              </w:r>
            </w:hyperlink>
          </w:p>
        </w:tc>
        <w:tc>
          <w:tcPr>
            <w:tcW w:w="8420" w:type="dxa"/>
            <w:vAlign w:val="bottom"/>
            <w:gridSpan w:val="15"/>
          </w:tcPr>
          <w:p>
            <w:pPr>
              <w:spacing w:after="0"/>
              <w:rPr>
                <w:sz w:val="24"/>
                <w:szCs w:val="24"/>
                <w:color w:val="auto"/>
              </w:rPr>
            </w:pPr>
          </w:p>
        </w:tc>
        <w:tc>
          <w:tcPr>
            <w:tcW w:w="102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1B.</w:t>
            </w:r>
          </w:p>
        </w:tc>
        <w:tc>
          <w:tcPr>
            <w:tcW w:w="40" w:type="dxa"/>
            <w:vAlign w:val="bottom"/>
          </w:tcPr>
          <w:p>
            <w:pPr>
              <w:spacing w:after="0"/>
              <w:rPr>
                <w:sz w:val="24"/>
                <w:szCs w:val="24"/>
                <w:color w:val="auto"/>
              </w:rPr>
            </w:pPr>
          </w:p>
        </w:tc>
        <w:tc>
          <w:tcPr>
            <w:tcW w:w="2040" w:type="dxa"/>
            <w:vAlign w:val="bottom"/>
            <w:gridSpan w:val="9"/>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Unresolved Staff Comments</w:t>
              </w:r>
            </w:hyperlink>
          </w:p>
        </w:tc>
        <w:tc>
          <w:tcPr>
            <w:tcW w:w="7280" w:type="dxa"/>
            <w:vAlign w:val="bottom"/>
            <w:gridSpan w:val="10"/>
          </w:tcPr>
          <w:p>
            <w:pPr>
              <w:spacing w:after="0"/>
              <w:rPr>
                <w:sz w:val="24"/>
                <w:szCs w:val="24"/>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40" w:type="dxa"/>
            <w:vAlign w:val="bottom"/>
            <w:gridSpan w:val="9"/>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Properties</w:t>
              </w:r>
            </w:hyperlink>
          </w:p>
        </w:tc>
        <w:tc>
          <w:tcPr>
            <w:tcW w:w="7280" w:type="dxa"/>
            <w:vAlign w:val="bottom"/>
            <w:gridSpan w:val="10"/>
          </w:tcPr>
          <w:p>
            <w:pPr>
              <w:spacing w:after="0"/>
              <w:rPr>
                <w:sz w:val="24"/>
                <w:szCs w:val="24"/>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932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932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II</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932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Market for the Registrant's Common Equity, Related Stockholder Matters, and Issuer Purchases of Equity Securities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836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Selected Financial Data</w:t>
              </w:r>
            </w:hyperlink>
          </w:p>
        </w:tc>
        <w:tc>
          <w:tcPr>
            <w:tcW w:w="960" w:type="dxa"/>
            <w:vAlign w:val="bottom"/>
          </w:tcPr>
          <w:p>
            <w:pPr>
              <w:spacing w:after="0"/>
              <w:rPr>
                <w:sz w:val="24"/>
                <w:szCs w:val="24"/>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6440" w:type="dxa"/>
            <w:vAlign w:val="bottom"/>
            <w:gridSpan w:val="15"/>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Management's Discussion and Analysis of Financial Condition and Results of Operations</w:t>
              </w:r>
            </w:hyperlink>
          </w:p>
        </w:tc>
        <w:tc>
          <w:tcPr>
            <w:tcW w:w="2880" w:type="dxa"/>
            <w:vAlign w:val="bottom"/>
            <w:gridSpan w:val="4"/>
          </w:tcPr>
          <w:p>
            <w:pPr>
              <w:spacing w:after="0"/>
              <w:rPr>
                <w:sz w:val="24"/>
                <w:szCs w:val="24"/>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7A.</w:t>
            </w:r>
          </w:p>
        </w:tc>
        <w:tc>
          <w:tcPr>
            <w:tcW w:w="40" w:type="dxa"/>
            <w:vAlign w:val="bottom"/>
          </w:tcPr>
          <w:p>
            <w:pPr>
              <w:spacing w:after="0"/>
              <w:rPr>
                <w:sz w:val="24"/>
                <w:szCs w:val="24"/>
                <w:color w:val="auto"/>
              </w:rPr>
            </w:pPr>
          </w:p>
        </w:tc>
        <w:tc>
          <w:tcPr>
            <w:tcW w:w="4320" w:type="dxa"/>
            <w:vAlign w:val="bottom"/>
            <w:gridSpan w:val="13"/>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Quantitative and Qualitative Disclosures About Market Risk</w:t>
              </w:r>
            </w:hyperlink>
          </w:p>
        </w:tc>
        <w:tc>
          <w:tcPr>
            <w:tcW w:w="2120" w:type="dxa"/>
            <w:vAlign w:val="bottom"/>
            <w:gridSpan w:val="2"/>
          </w:tcPr>
          <w:p>
            <w:pPr>
              <w:spacing w:after="0"/>
              <w:rPr>
                <w:sz w:val="24"/>
                <w:szCs w:val="24"/>
                <w:color w:val="auto"/>
              </w:rPr>
            </w:pPr>
          </w:p>
        </w:tc>
        <w:tc>
          <w:tcPr>
            <w:tcW w:w="2880" w:type="dxa"/>
            <w:vAlign w:val="bottom"/>
            <w:gridSpan w:val="4"/>
          </w:tcPr>
          <w:p>
            <w:pPr>
              <w:spacing w:after="0"/>
              <w:rPr>
                <w:sz w:val="24"/>
                <w:szCs w:val="24"/>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4320" w:type="dxa"/>
            <w:vAlign w:val="bottom"/>
            <w:gridSpan w:val="13"/>
          </w:tcPr>
          <w:p>
            <w:pPr>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Consolidated Financial Statements and Supplementary Data</w:t>
              </w:r>
            </w:hyperlink>
          </w:p>
        </w:tc>
        <w:tc>
          <w:tcPr>
            <w:tcW w:w="5000" w:type="dxa"/>
            <w:vAlign w:val="bottom"/>
            <w:gridSpan w:val="6"/>
          </w:tcPr>
          <w:p>
            <w:pPr>
              <w:spacing w:after="0"/>
              <w:rPr>
                <w:sz w:val="24"/>
                <w:szCs w:val="24"/>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648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29">
              <w:r>
                <w:rPr>
                  <w:rFonts w:ascii="Arial" w:cs="Arial" w:eastAsia="Arial" w:hAnsi="Arial"/>
                  <w:sz w:val="18"/>
                  <w:szCs w:val="18"/>
                  <w:color w:val="0000FF"/>
                  <w:w w:val="90"/>
                </w:rPr>
                <w:t>Changes in and Disagreements with Accountants on Accounting and Financial Disclosure</w:t>
              </w:r>
            </w:hyperlink>
          </w:p>
        </w:tc>
        <w:tc>
          <w:tcPr>
            <w:tcW w:w="28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122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9A.</w:t>
            </w:r>
          </w:p>
        </w:tc>
        <w:tc>
          <w:tcPr>
            <w:tcW w:w="40" w:type="dxa"/>
            <w:vAlign w:val="bottom"/>
          </w:tcPr>
          <w:p>
            <w:pPr>
              <w:spacing w:after="0"/>
              <w:rPr>
                <w:sz w:val="24"/>
                <w:szCs w:val="24"/>
                <w:color w:val="auto"/>
              </w:rPr>
            </w:pPr>
          </w:p>
        </w:tc>
        <w:tc>
          <w:tcPr>
            <w:tcW w:w="9320" w:type="dxa"/>
            <w:vAlign w:val="bottom"/>
            <w:gridSpan w:val="19"/>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Controls and Procedures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129">
              <w:r>
                <w:rPr>
                  <w:rFonts w:ascii="Arial" w:cs="Arial" w:eastAsia="Arial" w:hAnsi="Arial"/>
                  <w:sz w:val="18"/>
                  <w:szCs w:val="18"/>
                  <w:color w:val="0000FF"/>
                </w:rPr>
                <w:t>122</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9B.</w:t>
            </w:r>
          </w:p>
        </w:tc>
        <w:tc>
          <w:tcPr>
            <w:tcW w:w="40" w:type="dxa"/>
            <w:vAlign w:val="bottom"/>
          </w:tcPr>
          <w:p>
            <w:pPr>
              <w:spacing w:after="0"/>
              <w:rPr>
                <w:sz w:val="24"/>
                <w:szCs w:val="24"/>
                <w:color w:val="auto"/>
              </w:rPr>
            </w:pP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Other Information</w:t>
              </w:r>
            </w:hyperlink>
          </w:p>
        </w:tc>
        <w:tc>
          <w:tcPr>
            <w:tcW w:w="756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31">
              <w:r>
                <w:rPr>
                  <w:rFonts w:ascii="Arial" w:cs="Arial" w:eastAsia="Arial" w:hAnsi="Arial"/>
                  <w:sz w:val="18"/>
                  <w:szCs w:val="18"/>
                  <w:color w:val="0000FF"/>
                  <w:w w:val="86"/>
                </w:rPr>
                <w:t>124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8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rPr>
              <w:t>PART III</w:t>
            </w: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31">
              <w:r>
                <w:rPr>
                  <w:rFonts w:ascii="Arial" w:cs="Arial" w:eastAsia="Arial" w:hAnsi="Arial"/>
                  <w:sz w:val="18"/>
                  <w:szCs w:val="18"/>
                  <w:color w:val="0000FF"/>
                  <w:w w:val="90"/>
                </w:rPr>
                <w:t>Directors, Executive Officers, and Corporate Governance</w:t>
              </w:r>
            </w:hyperlink>
          </w:p>
        </w:tc>
        <w:tc>
          <w:tcPr>
            <w:tcW w:w="518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31">
              <w:r>
                <w:rPr>
                  <w:rFonts w:ascii="Arial" w:cs="Arial" w:eastAsia="Arial" w:hAnsi="Arial"/>
                  <w:sz w:val="18"/>
                  <w:szCs w:val="18"/>
                  <w:color w:val="0000FF"/>
                  <w:w w:val="86"/>
                </w:rPr>
                <w:t>124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18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31">
              <w:r>
                <w:rPr>
                  <w:rFonts w:ascii="Arial" w:cs="Arial" w:eastAsia="Arial" w:hAnsi="Arial"/>
                  <w:sz w:val="18"/>
                  <w:szCs w:val="18"/>
                  <w:color w:val="0000FF"/>
                  <w:w w:val="89"/>
                </w:rPr>
                <w:t>Executive Compensation</w:t>
              </w:r>
            </w:hyperlink>
          </w:p>
        </w:tc>
        <w:tc>
          <w:tcPr>
            <w:tcW w:w="752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31">
              <w:r>
                <w:rPr>
                  <w:rFonts w:ascii="Arial" w:cs="Arial" w:eastAsia="Arial" w:hAnsi="Arial"/>
                  <w:sz w:val="18"/>
                  <w:szCs w:val="18"/>
                  <w:color w:val="0000FF"/>
                  <w:w w:val="86"/>
                </w:rPr>
                <w:t>124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9320" w:type="dxa"/>
            <w:vAlign w:val="bottom"/>
            <w:gridSpan w:val="19"/>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Security Ownership of Certain Beneficial Owners and Management and Related Stockholder Matters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125</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7280" w:type="dxa"/>
            <w:vAlign w:val="bottom"/>
            <w:tcBorders>
              <w:top w:val="single" w:sz="8" w:color="0000FF"/>
            </w:tcBorders>
            <w:gridSpan w:val="17"/>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Certain Relationships and Related Transactions, and Director Independence</w:t>
              </w:r>
            </w:hyperlink>
          </w:p>
        </w:tc>
        <w:tc>
          <w:tcPr>
            <w:tcW w:w="20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32">
              <w:r>
                <w:rPr>
                  <w:rFonts w:ascii="Arial" w:cs="Arial" w:eastAsia="Arial" w:hAnsi="Arial"/>
                  <w:sz w:val="18"/>
                  <w:szCs w:val="18"/>
                  <w:color w:val="0000FF"/>
                  <w:w w:val="86"/>
                </w:rPr>
                <w:t>125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5440" w:type="dxa"/>
            <w:vAlign w:val="bottom"/>
            <w:tcBorders>
              <w:top w:val="single" w:sz="8" w:color="0000FF"/>
            </w:tcBorders>
            <w:gridSpan w:val="14"/>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Principal Accountant Fees and Services</w:t>
              </w:r>
            </w:hyperlink>
          </w:p>
        </w:tc>
        <w:tc>
          <w:tcPr>
            <w:tcW w:w="388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32">
              <w:r>
                <w:rPr>
                  <w:rFonts w:ascii="Arial" w:cs="Arial" w:eastAsia="Arial" w:hAnsi="Arial"/>
                  <w:sz w:val="18"/>
                  <w:szCs w:val="18"/>
                  <w:color w:val="0000FF"/>
                  <w:w w:val="86"/>
                </w:rPr>
                <w:t>125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8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rPr>
              <w:t>PART IV</w:t>
            </w: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9320" w:type="dxa"/>
            <w:vAlign w:val="bottom"/>
            <w:gridSpan w:val="19"/>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Exhibits and Financial Statement Schedules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125</w:t>
              </w:r>
            </w:hyperlink>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16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w w:val="98"/>
              </w:rPr>
              <w:t>SIGNATURES</w:t>
            </w: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76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136">
              <w:r>
                <w:rPr>
                  <w:rFonts w:ascii="Arial" w:cs="Arial" w:eastAsia="Arial" w:hAnsi="Arial"/>
                  <w:sz w:val="18"/>
                  <w:szCs w:val="18"/>
                  <w:color w:val="0000FF"/>
                  <w:w w:val="85"/>
                </w:rPr>
                <w:t>Signatures</w:t>
              </w:r>
            </w:hyperlink>
          </w:p>
        </w:tc>
        <w:tc>
          <w:tcPr>
            <w:tcW w:w="856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36">
              <w:r>
                <w:rPr>
                  <w:rFonts w:ascii="Arial" w:cs="Arial" w:eastAsia="Arial" w:hAnsi="Arial"/>
                  <w:sz w:val="18"/>
                  <w:szCs w:val="18"/>
                  <w:color w:val="0000FF"/>
                  <w:w w:val="86"/>
                </w:rPr>
                <w:t>130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historical information, the following information contains forward-looking statements as defined under federal securities laws. These forward-looking statements include statements about potential changes in our revenues, the size of our development program, earnings per share and unit, returns and portfolio value, and expectations about our liquidity. These statements are based on current expectations, estimates and projections about the real estate industry and markets in which the Parent Company and the Operating Partnership, collectively “Regency” or “the Company”, operate, and management's beliefs and assumptions. Forward-looking statements are not guarantees of future performance and involve certain known and unknown risks and uncertainties that could cause actual results to differ materially from those expressed or implied by such statements. Such risks and uncertainties include, but are not limited to, changes in national and local economic conditions; financial difficulties of tenants; competitive market conditions, including timing and pricing of acquisitions and sales of properties and out-parcels; changes in leasing activity and market rents; timing of development starts; meeting development schedules; our inability to exercise voting control over the co-investment partnerships through which we own many of our properties; consequences of any armed conflict or terrorist attack against the United States; and the ability to obtain governmental approvals. We do not undertake any obligation to release publicly any revision to such forward-looking statements to reflect events or uncertainties after the date hereof or to reflect the occurrence of uncertain events. For additional information, see “Risk Factors” elsewhere herein. The following discussion should be read in conjunction with the accompanying Consolidated Financial Statements and Notes thereto of Regency Centers Corporation and Regency Centers, L.P. appearing elsewhere 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Regency Centers Corporation began its operations as a real estate investment trust ("REIT") in 1993 and is the managing general partner in Regency Centers, L.P. We endeavor to be the preeminent, best-in-class national shopping center company distinguished by sustaining growth in shareholder value and compounding total shareholder return in excess of our peers. We work to achieve these goals through reliable growth in net operating income from a portfolio of dominant, infill shopping centers, balance sheet strength, value-added development capabilities and an engaged team of talented and dedicated people. All of our operating, investing, and financing activities are performed through the Operating Partnership, its wholly-owned subsidiaries, and through its investments in real estate partnerships with third parties (also referred to as "co-investment partnerships" or "joint ventures"). The Parent Company currently owns approximately 99.8% of the outstanding common partnership units of the Operating Partnership.</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At December 31, 2012, we directly owned 204 shopping centers (the “Consolidated Properties”) located in 24 states representing 22.5 million square feet of gross leasable area (“GLA”). Through co-investment partnerships, we own partial ownership interests in 144 shopping centers (the “Unconsolidated Properties”) located in 24 states and the District of Columbia representing 17.8 million square feet of GLA.</w:t>
      </w:r>
    </w:p>
    <w:p>
      <w:pPr>
        <w:spacing w:after="0" w:line="127"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We earn revenues and generate cash flow by leasing space in our shopping centers to grocery stores, major retail anchors, restaurants, side-shop retailers, and service providers, as well as ground leasing or selling building pads ("out-parcels") to these same types of tenants. Historically, we have experienced growth in revenues by increasing occupancy and rental rates in our existing shopping centers and by acquiring and developing new shopping centers. At December 31, 2012, the consolidated shopping centers were 94.1% leased, as compared to 92.2% at December 31, 2011.</w:t>
      </w:r>
    </w:p>
    <w:p>
      <w:pPr>
        <w:spacing w:after="0" w:line="100"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monitor the operating performance and rent collections of all tenants in our shopping centers, especially those tenants operating retail formats that are experiencing significant changes in competition, business practice, and store closings in other locations. We also evaluate consumer preferences, shopping behaviors, and demographics to anticipate both challenges and opportunities in the changing retail industry that may affect our tenants.</w:t>
      </w:r>
    </w:p>
    <w:p>
      <w:pPr>
        <w:spacing w:after="0" w:line="9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grow our shopping center portfolio through acquisitions of operating centers and new shopping center development. We will continue to use our development capabilities, market presence, and anchor relationships to invest in value-added new development and redevelopments of existing centers. Development is customer driven, meaning we generally have an executed lease from the anchor before we start construction. Developments serve the growth needs of our anchors and retailers, resulting in modern shopping centers with long-term anchor leases that produce attractive returns on our invested capital. This development process typically requires two to three years once construction has commenced, but can vary subject to the size and complexity of the project. We fund our acquisition and development activity from various capital sources including property sales, equity offerings, and new debt.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96" w:right="259" w:bottom="1440" w:gutter="0" w:footer="0" w:header="0"/>
        </w:sectPr>
      </w:pPr>
    </w:p>
    <w:bookmarkStart w:id="5" w:name="page6"/>
    <w:bookmarkEnd w:id="5"/>
    <w:p>
      <w:pPr>
        <w:ind w:right="20" w:firstLine="648"/>
        <w:spacing w:after="0" w:line="255" w:lineRule="auto"/>
        <w:rPr>
          <w:sz w:val="20"/>
          <w:szCs w:val="20"/>
          <w:color w:val="auto"/>
        </w:rPr>
      </w:pPr>
      <w:r>
        <w:rPr>
          <w:rFonts w:ascii="Arial" w:cs="Arial" w:eastAsia="Arial" w:hAnsi="Arial"/>
          <w:sz w:val="18"/>
          <w:szCs w:val="18"/>
          <w:color w:val="auto"/>
        </w:rPr>
        <w:t>Co-investment partnerships provide us with an additional capital source for shopping center acquisitions, as well as the opportunity to earn fees for asset management, property management, and other investing and financing services. As asset manager, we are engaged by our partners to apply similar operating, investment and capital strategies to the portfolios owned by the co-investment partnerships as those applied to the portfolio that we wholly-own. Co-investment partnerships grow their shopping center investments through acquisitions from third parties or direct purchases from us. Although selling properties to co-investment partnerships reduces our direct ownership interest, it provides a source of capital that further strengthens our balance sheet while we continue to share, to the extent of our ownership interest, in the risks and rewards of shopping centers that meet our high quality standards and long-term investment strategy.</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recognize the importance of continually improving the environmental sustainability performance of our real estate assets. To date we have received LEED (Leadership in Energy and Environmental Design) certifications by the U.S. Green Building Council at seven shopping centers and have four additional in-process developments targeting certification. We also continue to implement best practices in our operating portfolio to reduce our power and water consumption, in addition to other sustainability initiatives. We believe that the design, construction and operation of environmentally efficient shopping centers will contribute to our key strategic goals.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among the largest owners of shopping centers in the nation based on revenues, number of properties, gross leasable area, and market capitalization. There are numerous companies and private individuals engaged in the ownership, development, acquisition, and operation of shopping centers that compete with us in our targeted markets, including grocery store chains that also anchor some of our shopping centers. This results in competition for attracting anchor tenants, as well as the acquisition of existing shopping centers and new development sites. We believe that our competitive advantages are driven by our locations within our market areas, the design and high quality of our shopping centers, the strong demographics surrounding our shopping centers, our relationships with our anchor tenants and our side-shop and out-parcel retailers, our practice of maintaining and renovating our shopping centers, and our ability to source and develop new shopping centers.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headquarters are located at One Independent Drive, Suite 114, Jacksonville, Florida. We presently maintain 17 market offices nationwide where we conduct management, leasing, construction, and investment activities. At December 31, 2012, we had 368 employees and we believe that our relations with our employees are good.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Compliance with Governmental Regulations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Under various federal, state and local laws, ordinances and regulations, we may be liable for the cost to remove or remediate certain hazardous or toxic substances at our shopping centers. These laws often impose liability without regard to whether the owner knew of, or was responsible for, the presence of the hazardous or toxic substances. The cost of required remediation and the owner's liability for remediation could exceed the value of the property and/or the aggregate assets of the owner. The presence of such substances, or the failure to properly remediate such substances, may adversely affect our ability to sell or lease the property or borrow using the property as collateral. While we have a number of properties that could require or are currently undergoing varying levels of environmental remediation, environmental remediation is not currently expected to have a material financial impact on us due to reserves for remediation, insurance programs designed to mitigate the cost of remediation, and various state-regulated programs that shift the responsibility and cost to the state.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executive officers of the Company are appointed each year by the Board of Directors. Each of the executive officers has been employed by the Company in the position indicated in the list or positions indicated in the pertinent notes below. Each of the executive officers has been employed by the Company for more than five years.</w:t>
      </w:r>
    </w:p>
    <w:p>
      <w:pPr>
        <w:spacing w:after="0" w:line="270" w:lineRule="exact"/>
        <w:rPr>
          <w:sz w:val="20"/>
          <w:szCs w:val="20"/>
          <w:color w:val="auto"/>
        </w:rPr>
      </w:pPr>
    </w:p>
    <w:tbl>
      <w:tblPr>
        <w:tblLayout w:type="fixed"/>
        <w:tblInd w:w="210" w:type="dxa"/>
        <w:tblCellMar>
          <w:top w:w="0" w:type="dxa"/>
          <w:left w:w="0" w:type="dxa"/>
          <w:bottom w:w="0" w:type="dxa"/>
          <w:right w:w="0" w:type="dxa"/>
        </w:tblCellMar>
      </w:tblPr>
      <w:tr>
        <w:trPr>
          <w:trHeight w:val="238"/>
        </w:trPr>
        <w:tc>
          <w:tcPr>
            <w:tcW w:w="24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Name</w:t>
            </w:r>
          </w:p>
        </w:tc>
        <w:tc>
          <w:tcPr>
            <w:tcW w:w="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Age</w:t>
            </w:r>
          </w:p>
        </w:tc>
        <w:tc>
          <w:tcPr>
            <w:tcW w:w="5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Executive Officer in Position</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5520" w:type="dxa"/>
            <w:vAlign w:val="bottom"/>
            <w:tcBorders>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Shown Since</w:t>
            </w:r>
          </w:p>
        </w:tc>
        <w:tc>
          <w:tcPr>
            <w:tcW w:w="0" w:type="dxa"/>
            <w:vAlign w:val="bottom"/>
          </w:tcPr>
          <w:p>
            <w:pPr>
              <w:spacing w:after="0"/>
              <w:rPr>
                <w:sz w:val="1"/>
                <w:szCs w:val="1"/>
                <w:color w:val="auto"/>
              </w:rPr>
            </w:pPr>
          </w:p>
        </w:tc>
      </w:tr>
      <w:tr>
        <w:trPr>
          <w:trHeight w:val="108"/>
        </w:trPr>
        <w:tc>
          <w:tcPr>
            <w:tcW w:w="24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552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Martin E. Stein, Jr.</w:t>
            </w:r>
          </w:p>
        </w:tc>
        <w:tc>
          <w:tcPr>
            <w:tcW w:w="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5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Chairman and Chief Executive Officer</w:t>
            </w:r>
          </w:p>
        </w:tc>
        <w:tc>
          <w:tcPr>
            <w:tcW w:w="2420" w:type="dxa"/>
            <w:vAlign w:val="bottom"/>
            <w:tcBorders>
              <w:bottom w:val="single" w:sz="8" w:color="CCEEFF"/>
              <w:right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64"/>
        </w:trPr>
        <w:tc>
          <w:tcPr>
            <w:tcW w:w="2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Brian M. Smith</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5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President and Chief Operating Officer</w:t>
            </w:r>
          </w:p>
        </w:tc>
        <w:tc>
          <w:tcPr>
            <w:tcW w:w="2420" w:type="dxa"/>
            <w:vAlign w:val="bottom"/>
            <w:tcBorders>
              <w:top w:val="single" w:sz="8" w:color="auto"/>
              <w:bottom w:val="single" w:sz="8" w:color="auto"/>
              <w:right w:val="single" w:sz="8" w:color="auto"/>
            </w:tcBorders>
          </w:tcPr>
          <w:p>
            <w:pPr>
              <w:ind w:left="1000"/>
              <w:spacing w:after="0" w:line="264" w:lineRule="exact"/>
              <w:rPr>
                <w:sz w:val="20"/>
                <w:szCs w:val="20"/>
                <w:color w:val="auto"/>
              </w:rPr>
            </w:pPr>
            <w:r>
              <w:rPr>
                <w:rFonts w:ascii="Arial" w:cs="Arial" w:eastAsia="Arial" w:hAnsi="Arial"/>
                <w:sz w:val="18"/>
                <w:szCs w:val="18"/>
                <w:color w:val="auto"/>
              </w:rPr>
              <w:t xml:space="preserve">2009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64"/>
        </w:trPr>
        <w:tc>
          <w:tcPr>
            <w:tcW w:w="24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Lisa Palmer</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c>
          <w:tcPr>
            <w:tcW w:w="2420" w:type="dxa"/>
            <w:vAlign w:val="bottom"/>
            <w:tcBorders>
              <w:bottom w:val="single" w:sz="8" w:color="auto"/>
              <w:right w:val="single" w:sz="8" w:color="auto"/>
            </w:tcBorders>
            <w:shd w:val="clear" w:color="auto" w:fill="CCEEFF"/>
          </w:tcPr>
          <w:p>
            <w:pPr>
              <w:ind w:left="1000"/>
              <w:spacing w:after="0" w:line="264" w:lineRule="exact"/>
              <w:rPr>
                <w:sz w:val="20"/>
                <w:szCs w:val="20"/>
                <w:color w:val="auto"/>
              </w:rPr>
            </w:pPr>
            <w:r>
              <w:rPr>
                <w:rFonts w:ascii="Arial" w:cs="Arial" w:eastAsia="Arial" w:hAnsi="Arial"/>
                <w:sz w:val="18"/>
                <w:szCs w:val="18"/>
                <w:color w:val="auto"/>
              </w:rPr>
              <w:t xml:space="preserve">2013 </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64"/>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Dan M. Chandler, III</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46</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Managing Director - West</w:t>
            </w:r>
          </w:p>
        </w:tc>
        <w:tc>
          <w:tcPr>
            <w:tcW w:w="2420" w:type="dxa"/>
            <w:vAlign w:val="bottom"/>
            <w:tcBorders>
              <w:bottom w:val="single" w:sz="8" w:color="auto"/>
              <w:right w:val="single" w:sz="8" w:color="auto"/>
            </w:tcBorders>
          </w:tcPr>
          <w:p>
            <w:pPr>
              <w:ind w:left="1000"/>
              <w:spacing w:after="0" w:line="264" w:lineRule="exact"/>
              <w:rPr>
                <w:sz w:val="20"/>
                <w:szCs w:val="20"/>
                <w:color w:val="auto"/>
              </w:rPr>
            </w:pPr>
            <w:r>
              <w:rPr>
                <w:rFonts w:ascii="Arial" w:cs="Arial" w:eastAsia="Arial" w:hAnsi="Arial"/>
                <w:sz w:val="18"/>
                <w:szCs w:val="18"/>
                <w:color w:val="auto"/>
              </w:rPr>
              <w:t xml:space="preserve">2009 </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69"/>
        </w:trPr>
        <w:tc>
          <w:tcPr>
            <w:tcW w:w="24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John S. Delatour</w:t>
            </w:r>
          </w:p>
        </w:tc>
        <w:tc>
          <w:tcPr>
            <w:tcW w:w="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Managing Director - Central</w:t>
            </w:r>
          </w:p>
        </w:tc>
        <w:tc>
          <w:tcPr>
            <w:tcW w:w="2420" w:type="dxa"/>
            <w:vAlign w:val="bottom"/>
            <w:tcBorders>
              <w:bottom w:val="single" w:sz="8" w:color="CCEEFF"/>
              <w:right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37"/>
        </w:trPr>
        <w:tc>
          <w:tcPr>
            <w:tcW w:w="2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James D. Thompson</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5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Managing Director - East</w:t>
            </w:r>
          </w:p>
        </w:tc>
        <w:tc>
          <w:tcPr>
            <w:tcW w:w="242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8"/>
        <w:spacing w:after="0" w:line="262" w:lineRule="auto"/>
        <w:tabs>
          <w:tab w:leader="none" w:pos="518"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 February 2009, Brian M. Smith, Managing Director and Chief Investment Officer of the Company since 2005, was appointed to the position of President. Prior to serving as our Managing Director and Chief Investment Officer, from March 1999 to September 2005, Mr. Smith served as Managing Director of Investments for our Pacific, Mid-Atlantic, and Northeast divisions.</w:t>
      </w:r>
    </w:p>
    <w:p>
      <w:pPr>
        <w:spacing w:after="0" w:line="186" w:lineRule="exact"/>
        <w:rPr>
          <w:rFonts w:ascii="Arial" w:cs="Arial" w:eastAsia="Arial" w:hAnsi="Arial"/>
          <w:sz w:val="22"/>
          <w:szCs w:val="22"/>
          <w:color w:val="auto"/>
          <w:vertAlign w:val="superscript"/>
        </w:rPr>
      </w:pPr>
    </w:p>
    <w:p>
      <w:pPr>
        <w:ind w:left="340" w:hanging="8"/>
        <w:spacing w:after="0" w:line="262" w:lineRule="auto"/>
        <w:tabs>
          <w:tab w:leader="none" w:pos="518"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Lisa Palmer is our Executive Vice President and Chief Financial Officer. Ms. Palmer served as Senior Manager of Investment Services in 1996 and assumed the role of Vice President of Capital Markets in 1999. She served as Senior Vice President of Capital Markets from 2003 to 2012 until assuming the role of Chief Financial Officer in January 2013.</w:t>
      </w:r>
    </w:p>
    <w:p>
      <w:pPr>
        <w:spacing w:after="0" w:line="186" w:lineRule="exact"/>
        <w:rPr>
          <w:rFonts w:ascii="Arial" w:cs="Arial" w:eastAsia="Arial" w:hAnsi="Arial"/>
          <w:sz w:val="22"/>
          <w:szCs w:val="22"/>
          <w:color w:val="auto"/>
          <w:vertAlign w:val="superscript"/>
        </w:rPr>
      </w:pPr>
    </w:p>
    <w:p>
      <w:pPr>
        <w:jc w:val="both"/>
        <w:ind w:left="340" w:right="40" w:hanging="8"/>
        <w:spacing w:after="0" w:line="245" w:lineRule="auto"/>
        <w:tabs>
          <w:tab w:leader="none" w:pos="532"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Dan M. Chandler, III, has served as our Managing Director - West since August 2009. From August 2007 to April 2009, Mr. Chandler was a principal with Chandler Partners, a private commercial and residential real estate developer in Southern California. During 2009, Mr. Chandler was also affiliated with Urban|One, a real estate development and management firm in Los Angeles. Mr. Chandler was a Managing Director for us from 2006 to July 2007, Senior Vice President of Investments from 2002 to 2006, and Vice President of Investments from 1997 to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 Access and SEC Filings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The Company's website may be accessed at </w:t>
      </w:r>
      <w:r>
        <w:rPr>
          <w:rFonts w:ascii="Arial" w:cs="Arial" w:eastAsia="Arial" w:hAnsi="Arial"/>
          <w:sz w:val="16"/>
          <w:szCs w:val="16"/>
          <w:u w:val="single" w:color="auto"/>
          <w:color w:val="0000FF"/>
        </w:rPr>
        <w:t>www.regencycenters.com</w:t>
      </w:r>
      <w:r>
        <w:rPr>
          <w:rFonts w:ascii="Arial" w:cs="Arial" w:eastAsia="Arial" w:hAnsi="Arial"/>
          <w:sz w:val="16"/>
          <w:szCs w:val="16"/>
          <w:color w:val="auto"/>
        </w:rPr>
        <w:t xml:space="preserve">. All of our filings with the Securities and Exchange Commission (“SEC”) can be accessed free of charge through our website promptly after filing; however, in the event that the website is inaccessible, we will provide paper copies of our most recent annual report on Form 10-K, the most recent quarterly report on Form 10-Q, current reports filed or furnished on Form 8-K, and all related amendments, excluding exhibits, free of charge upon request. These filings are also accessible on the SEC's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Company's registrar and stock transfer agent is Wells Fargo Bank, N.A. (“Wells Fargo Shareowner Services”), Mendota Heights, MN. The Company offers a dividend reinvestment plan (“DRIP”) that enables its stockholders to reinvest dividends automatically, as well as to make voluntary cash payments toward the purchase of additional shares. For more information, contact Wells Fargo toll free at (800) 468-9716 or the Company's Shareholder Relations Department at (904) 598-7000.</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is KPMG LLP, Jacksonville, Florida. The Company's legal counsel is Foley &amp; Lardner LLP, Jacksonville, Florida.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Company's annual meeting will be held at The Ponte Vedra Inn &amp; Club, 200 Ponte Vedra Blvd, Ponte Vedra Beach, Florida, at 11:00 a.m. on Tuesday, May 7, 2013.</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Industry and Real Estate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in the retail industry likely will have a direct adverse impact on our revenues and cash flow.</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properties consist primarily of grocery-anchored shopping centers. Our performance therefore is generally linked to economic conditions in the market for retail space. The market for retail space has been or could be adversely affected by any of the following:</w:t>
      </w:r>
    </w:p>
    <w:p>
      <w:pPr>
        <w:spacing w:after="0" w:line="170" w:lineRule="exact"/>
        <w:rPr>
          <w:sz w:val="20"/>
          <w:szCs w:val="20"/>
          <w:color w:val="auto"/>
        </w:rPr>
      </w:pPr>
    </w:p>
    <w:p>
      <w:pPr>
        <w:ind w:left="1620" w:right="140" w:hanging="315"/>
        <w:spacing w:after="0" w:line="258"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national, regional and local economies, which could adversely impact consumer spending and retail sales and in turn tenant demand for space and lead to increased store closings;</w:t>
      </w:r>
    </w:p>
    <w:p>
      <w:pPr>
        <w:spacing w:after="0" w:line="1" w:lineRule="exact"/>
        <w:rPr>
          <w:rFonts w:ascii="Arial" w:cs="Arial" w:eastAsia="Arial" w:hAnsi="Arial"/>
          <w:sz w:val="18"/>
          <w:szCs w:val="18"/>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financial conditions for grocery and retail anchors;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consolidation in the retail sector;</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excess amount of retail space in a number of markets;</w:t>
      </w:r>
    </w:p>
    <w:p>
      <w:pPr>
        <w:spacing w:after="0" w:line="9" w:lineRule="exact"/>
        <w:rPr>
          <w:rFonts w:ascii="Arial" w:cs="Arial" w:eastAsia="Arial" w:hAnsi="Arial"/>
          <w:sz w:val="18"/>
          <w:szCs w:val="18"/>
          <w:color w:val="auto"/>
        </w:rPr>
      </w:pPr>
    </w:p>
    <w:p>
      <w:pPr>
        <w:ind w:left="1620" w:right="180" w:hanging="315"/>
        <w:spacing w:after="0" w:line="250"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 in the demand by tenants to occupy our shopping centers as a result of reduced consumer demand for certain retail formats such as video rental stores;</w:t>
      </w: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shift in retail shopping from brick and mortar stores to Internet retailers and catalogs;</w:t>
      </w:r>
    </w:p>
    <w:p>
      <w:pPr>
        <w:spacing w:after="0" w:line="9" w:lineRule="exact"/>
        <w:rPr>
          <w:rFonts w:ascii="Arial" w:cs="Arial" w:eastAsia="Arial" w:hAnsi="Arial"/>
          <w:sz w:val="18"/>
          <w:szCs w:val="18"/>
          <w:color w:val="auto"/>
        </w:rPr>
      </w:pPr>
    </w:p>
    <w:p>
      <w:pPr>
        <w:ind w:left="1620" w:right="140" w:hanging="315"/>
        <w:spacing w:after="0" w:line="250"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of super-centers and warehouse club retailers, such as those operated by Wal-Mart and Costco, and their adverse effect on traditional grocery chains;</w:t>
      </w:r>
    </w:p>
    <w:p>
      <w:pPr>
        <w:ind w:left="1620" w:hanging="315"/>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increased energy costs on consumers and its consequential effect on the number of shopping visits to our centers; and</w:t>
      </w:r>
    </w:p>
    <w:p>
      <w:pPr>
        <w:spacing w:after="0" w:line="32" w:lineRule="exact"/>
        <w:rPr>
          <w:rFonts w:ascii="Arial" w:cs="Arial" w:eastAsia="Arial" w:hAnsi="Arial"/>
          <w:sz w:val="16"/>
          <w:szCs w:val="16"/>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consequences of any armed conflict involving, or terrorist attack against, the United States.</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To the extent that any of these conditions occur, they are likely to impact market rents for retail space, occupancy in the operating portfolios, our ability to sell, acquire or develop properties, and our cash available for distributions to stock and unit holders.</w:t>
      </w:r>
    </w:p>
    <w:p>
      <w:pPr>
        <w:spacing w:after="0" w:line="166"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Our revenues and cash flow could be adversely affected by poor economic or market conditions where our properties are geographically concentrated, which may impede our ability to generate sufficient income to pay expenses and maintain our properties.</w:t>
      </w:r>
    </w:p>
    <w:p>
      <w:pPr>
        <w:spacing w:after="0" w:line="12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economic conditions in markets in which our properties are concentrated greatly influence our financial performance. During the year ended December 31, 2012, our properties in California, Florida, and Texas accounted for 30.6%, 11.1%, and 11.0%, respectively, of our net income. Our revenues and cash available to pay expenses, maintain our properties, and for distributions to stock and unit holders could be adversely affected by this geographic concentration if market conditions, such as supply of or demand for retail space, deteriorate in California, Florida, or Texas relative to other geographic areas.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revenues from significant tenants could reduce distributions to stock and unit holders.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derive significant revenues from anchor tenants such as Kroger, Publix, Safeway and Supervalu, which are our four most significant anchor tenants as they account for 4.3%, 4.2%, 3.3% and 2.1% respectively, of our total annualized base rent from Consolidated Properties plus our pro-rata share of annualized base rent from Unconsolidated Properties ("pro-rata basis"), which is recognized in equity in income (loss) of investment in real estate partnerships, for the year ended December 31, 2012. Distributions to stock and unit holders could be adversely affected by the loss of revenues in the event a significant tenant:</w:t>
      </w:r>
    </w:p>
    <w:p>
      <w:pPr>
        <w:spacing w:after="0" w:line="4" w:lineRule="exact"/>
        <w:rPr>
          <w:sz w:val="20"/>
          <w:szCs w:val="20"/>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becomes bankrupt or insolvent;</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experiences a downturn in its business;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materially defaults on its leases;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renew its leases as they expire; or</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renews at lower rental rates.</w:t>
      </w:r>
    </w:p>
    <w:p>
      <w:pPr>
        <w:spacing w:after="0" w:line="21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Vacated anchor space, including space owned by the anchor, can reduce rental revenues generated by the shopping center because of the loss of the departed anchor tenant's customer drawing power. Some anchors have the right to vacate and prevent re-tenanting by paying rent for the balance of the lease term. If significant tenants vacate a property, then other tenants may be entitled to terminate their leases at the property.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796"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net income depends on the success and continued occupancy of our tenants.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net income could be adversely affected in the event of bankruptcy or insolvency of any of our anchors or a significant number of our non-anchor tenants within a shopping center, or if we fail to lease significant portions of our new developments. The adverse impact on our net income may be greater than the loss of rent from the resulting unoccupied space because co-tenancy clauses in select centers may allow other tenants to modify or terminate their rent or lease obligations. Co-tenancy clauses have several variants: they may allow a tenant to postpone a store opening if certain other tenants fail to open their stores; they may allow a tenant to close its store prior to lease expiration if another tenant closes its store prior to lease expiration; or more commonly, they may allow a tenant to pay reduced levels of rent until a certain number of tenants open their stores within the same shopping center.</w:t>
      </w:r>
    </w:p>
    <w:p>
      <w:pPr>
        <w:spacing w:after="0" w:line="16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 large percentage of our revenues are derived from smaller shop tenants and our net income could be adversely impacted if our smaller shop tenants are not successful.</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 large percentage of our revenues are derived from smaller shop tenants (those occupying less than 10,000 square feet). Smaller shop tenants may be more vulnerable to negative economic conditions as they have more limited resources than larger tenants. The types of smaller shop tenants vary from retail shops to service providers. If we are unable to attract the right type or mix of smaller shop tenants into our centers, our net income could be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in bankruptcy.</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Although minimum rent is supported by long-term lease contracts, tenants who file bankruptcy have the legal right to reject any or all of their leases and close related stores. In the event that a tenant with a significant number of leases in our shopping centers files bankruptcy and rejects its leases, we could experience a significant reduction in our revenues and may not be able to collect all pre-petition amounts owed by that 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real estate assets may be subject to impairment charges.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long-lived assets, primarily real estate held for investment, are carried at cost unless circumstances indicate that the carrying value of the assets may not be recoverable. We evaluate whether there are any indicators, including property operating performance and general market conditions, that the value of the real estate properties (including any related amortizable intangible assets or liabilities) may not be recoverable. Through the evaluation, we compare the current carrying value of the asset to the estimated undiscounted cash flows that are directly associated with the use and ultimate disposition of the asset. Our estimated cash flows are based on several key assumptions, including rental rates, costs of tenant improvements, leasing commissions, anticipated hold periods, and assumptions regarding the residual value upon disposition, including the exit capitalization rate. These key assumptions are subjective in nature and could differ materially from actual results. Changes in our disposition strategy or changes in the marketplace may alter the hold period of an asset or asset group, which may result in an impairment loss and such loss could be material to the Company's financial condition or operating performance. To the extent that the carrying value of the asset exceeds the estimated undiscounted cash flows, an impairment loss is recognized equal to the excess of carrying value over fair value. If such indicators, as described above, are not identified, management will not assess the recoverability of a property's carrying value.</w:t>
      </w:r>
    </w:p>
    <w:p>
      <w:pPr>
        <w:spacing w:after="0" w:line="16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fair value of real estate assets is highly subjective and is determined through comparable sales information and other market data if available, or through use of an income approach such as the direct capitalization method or the traditional discounted cash flow approach. Such cash flow projections consider factors, including expected future operating income, trends and prospects, as well as the effects of demand, competition and other factors, and therefore are subject to a significant degree of management judgment. Changes in those factors could impact the determination of fair value. In estimating the fair value of undeveloped land, we generally use market data and comparable sales information.</w:t>
      </w:r>
    </w:p>
    <w:p>
      <w:pPr>
        <w:spacing w:after="0" w:line="17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These subjective assessments have a direct impact on our net income because recording an impairment charge results in an immediate negative adjustment to net income. There can be no assurance that we will not take additional charges in the future related to the impairment of our assets. Any future impairment could have a material adverse effect on our results of operations in the period in which the charge is taken.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9" w:name="page10"/>
    <w:bookmarkEnd w:id="9"/>
    <w:p>
      <w:pPr>
        <w:spacing w:after="0" w:line="282" w:lineRule="auto"/>
        <w:rPr>
          <w:sz w:val="20"/>
          <w:szCs w:val="20"/>
          <w:color w:val="auto"/>
        </w:rPr>
      </w:pPr>
      <w:r>
        <w:rPr>
          <w:rFonts w:ascii="Arial" w:cs="Arial" w:eastAsia="Arial" w:hAnsi="Arial"/>
          <w:sz w:val="18"/>
          <w:szCs w:val="18"/>
          <w:b w:val="1"/>
          <w:bCs w:val="1"/>
          <w:color w:val="auto"/>
        </w:rPr>
        <w:t>Adverse global market and economic conditions may adversely affect us and could cause us to recognize additional impairment charges or otherwise harm our performance.</w:t>
      </w:r>
    </w:p>
    <w:p>
      <w:pPr>
        <w:spacing w:after="0" w:line="16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are unable to predict the timing, severity, and length of adverse market and economic conditions. Adverse market and economic conditions may impede our ability to generate sufficient operating cash flow to pay expenses, maintain properties, pay distributions to our stock and unit holders, and refinance debt. During adverse periods, there may be significant uncertainty in the valuation of our properties and investments that could result in a substantial decrease in their value. No assurance can be given that we would be able to recover the current carrying amount of all of our properties and investments in the future. Our failure to do so would require us to recognize additional impairment charges for the period in which we reached that conclusion, which could materially and adversely affect us and the market price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activities may not produce the returns that we expect.</w:t>
      </w:r>
    </w:p>
    <w:p>
      <w:pPr>
        <w:spacing w:after="0" w:line="17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investment strategy includes investing in high-quality shopping centers that are leased to market-dominant grocers, category-leading anchors, specialty retailers, or restaurants located in areas with high barriers to entry and above average household incomes and population densities. The acquisition of properties entails risks that include, but are not limited to, the following, any of which could adversely affect our results of operations and our ability to meet our obligations:</w:t>
      </w:r>
    </w:p>
    <w:p>
      <w:pPr>
        <w:spacing w:after="0" w:line="52" w:lineRule="exact"/>
        <w:rPr>
          <w:sz w:val="20"/>
          <w:szCs w:val="20"/>
          <w:color w:val="auto"/>
        </w:rPr>
      </w:pPr>
    </w:p>
    <w:p>
      <w:pPr>
        <w:ind w:left="1700" w:right="620" w:hanging="314"/>
        <w:spacing w:after="0" w:line="258"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identify suitable properties to acquire or may be unable to complete the acquisition of the properties we identify;</w:t>
      </w:r>
    </w:p>
    <w:p>
      <w:pPr>
        <w:spacing w:after="0" w:line="1" w:lineRule="exact"/>
        <w:rPr>
          <w:rFonts w:ascii="Arial" w:cs="Arial" w:eastAsia="Arial" w:hAnsi="Arial"/>
          <w:sz w:val="18"/>
          <w:szCs w:val="18"/>
          <w:color w:val="auto"/>
        </w:rPr>
      </w:pPr>
    </w:p>
    <w:p>
      <w:pPr>
        <w:ind w:left="1700" w:right="180" w:hanging="314"/>
        <w:spacing w:after="0" w:line="250"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properties we acquire may fail to achieve the occupancy or rental rates we project, within the time frames we project, at the time we make the decision to invest, which may result in the properties' failure to achieve the returns we projected;</w:t>
      </w:r>
    </w:p>
    <w:p>
      <w:pPr>
        <w:ind w:left="1700" w:hanging="314"/>
        <w:spacing w:after="0" w:line="250"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w:t>
      </w:r>
    </w:p>
    <w:p>
      <w:pPr>
        <w:spacing w:after="0" w:line="1" w:lineRule="exact"/>
        <w:rPr>
          <w:rFonts w:ascii="Arial" w:cs="Arial" w:eastAsia="Arial" w:hAnsi="Arial"/>
          <w:sz w:val="18"/>
          <w:szCs w:val="18"/>
          <w:color w:val="auto"/>
        </w:rPr>
      </w:pPr>
    </w:p>
    <w:p>
      <w:pPr>
        <w:ind w:left="1700" w:right="340" w:hanging="314"/>
        <w:spacing w:after="0" w:line="250"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costs;</w:t>
      </w:r>
    </w:p>
    <w:p>
      <w:pPr>
        <w:spacing w:after="0" w:line="1" w:lineRule="exact"/>
        <w:rPr>
          <w:rFonts w:ascii="Arial" w:cs="Arial" w:eastAsia="Arial" w:hAnsi="Arial"/>
          <w:sz w:val="18"/>
          <w:szCs w:val="18"/>
          <w:color w:val="auto"/>
        </w:rPr>
      </w:pPr>
    </w:p>
    <w:p>
      <w:pPr>
        <w:jc w:val="both"/>
        <w:ind w:left="1700" w:right="120" w:hanging="314"/>
        <w:spacing w:after="0" w:line="250"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either of which could result in the property failing to achieve the returns we have projected, either temporarily or for a longer time; and</w:t>
      </w:r>
    </w:p>
    <w:p>
      <w:pPr>
        <w:spacing w:after="0" w:line="1" w:lineRule="exact"/>
        <w:rPr>
          <w:rFonts w:ascii="Arial" w:cs="Arial" w:eastAsia="Arial" w:hAnsi="Arial"/>
          <w:sz w:val="18"/>
          <w:szCs w:val="18"/>
          <w:color w:val="auto"/>
        </w:rPr>
      </w:pPr>
    </w:p>
    <w:p>
      <w:pPr>
        <w:ind w:left="1700" w:hanging="314"/>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Unsuccessful development activities or a slowdown in development activities could have a direct impact on our revenues and our revenue growth.</w:t>
      </w:r>
    </w:p>
    <w:p>
      <w:pPr>
        <w:spacing w:after="0" w:line="25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actively pursue development activities as opportunities arise. Development activities require various government and other approvals for entitlements and any delay in such approvals may significantly delay the development process. We may not recover our investment in development projects for which approvals are not received. We incur other risks associated with development activities, including:</w:t>
      </w:r>
    </w:p>
    <w:p>
      <w:pPr>
        <w:ind w:left="1700" w:hanging="314"/>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lease developments to full occupancy on a timely basis;</w:t>
      </w:r>
    </w:p>
    <w:p>
      <w:pPr>
        <w:spacing w:after="0" w:line="9" w:lineRule="exact"/>
        <w:rPr>
          <w:rFonts w:ascii="Arial" w:cs="Arial" w:eastAsia="Arial" w:hAnsi="Arial"/>
          <w:sz w:val="18"/>
          <w:szCs w:val="18"/>
          <w:color w:val="auto"/>
        </w:rPr>
      </w:pPr>
    </w:p>
    <w:p>
      <w:pPr>
        <w:ind w:left="1700" w:hanging="314"/>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occupancy rates and rents of a completed project will not be sufficient to make the project profitable;</w:t>
      </w:r>
    </w:p>
    <w:p>
      <w:pPr>
        <w:spacing w:after="0" w:line="9" w:lineRule="exact"/>
        <w:rPr>
          <w:rFonts w:ascii="Arial" w:cs="Arial" w:eastAsia="Arial" w:hAnsi="Arial"/>
          <w:sz w:val="18"/>
          <w:szCs w:val="18"/>
          <w:color w:val="auto"/>
        </w:rPr>
      </w:pPr>
    </w:p>
    <w:p>
      <w:pPr>
        <w:ind w:left="1700" w:hanging="314"/>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development costs of a project may exceed original estimates, possibly making the project unprofitable;</w:t>
      </w:r>
    </w:p>
    <w:p>
      <w:pPr>
        <w:spacing w:after="0" w:line="9" w:lineRule="exact"/>
        <w:rPr>
          <w:rFonts w:ascii="Arial" w:cs="Arial" w:eastAsia="Arial" w:hAnsi="Arial"/>
          <w:sz w:val="18"/>
          <w:szCs w:val="18"/>
          <w:color w:val="auto"/>
        </w:rPr>
      </w:pPr>
    </w:p>
    <w:p>
      <w:pPr>
        <w:ind w:left="1700" w:hanging="314"/>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w:t>
      </w:r>
    </w:p>
    <w:p>
      <w:pPr>
        <w:spacing w:after="0" w:line="9" w:lineRule="exact"/>
        <w:rPr>
          <w:rFonts w:ascii="Arial" w:cs="Arial" w:eastAsia="Arial" w:hAnsi="Arial"/>
          <w:sz w:val="18"/>
          <w:szCs w:val="18"/>
          <w:color w:val="auto"/>
        </w:rPr>
      </w:pPr>
    </w:p>
    <w:p>
      <w:pPr>
        <w:ind w:left="1700" w:hanging="314"/>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we may abandon development opportunities and lose our investment in these developments;</w:t>
      </w:r>
    </w:p>
    <w:p>
      <w:pPr>
        <w:spacing w:after="0" w:line="9" w:lineRule="exact"/>
        <w:rPr>
          <w:rFonts w:ascii="Arial" w:cs="Arial" w:eastAsia="Arial" w:hAnsi="Arial"/>
          <w:sz w:val="18"/>
          <w:szCs w:val="18"/>
          <w:color w:val="auto"/>
        </w:rPr>
      </w:pPr>
    </w:p>
    <w:p>
      <w:pPr>
        <w:ind w:left="1700" w:right="180" w:hanging="314"/>
        <w:spacing w:after="0" w:line="250"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the current size of our development pipeline will strain the organization's capacity to complete the developments within the targeted timelines and at the expected returns on invested capital; and</w:t>
      </w:r>
    </w:p>
    <w:p>
      <w:pPr>
        <w:ind w:left="1700" w:hanging="314"/>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cash flow during the construction period.</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our developments are unsuccessful or we experience a slowdown in development activities, our revenue growth and/or operating expenses may be adversely impacted.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leases for space in our properties may not be renewed, space may not be re-leased, or the terms of renewal or re-lease, including the cost of required renovations or concessions to tenants, may be less favorable than current lease terms. As a result, our results of operations and our net income could be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Real estate investments generally cannot be sold quickly. Our inability to respond promptly to unfavorable changes in the performance of our investments could have an adverse effect on our ability to meet our obligations and make distributions to our stock and unit holders.</w:t>
      </w:r>
    </w:p>
    <w:p>
      <w:pPr>
        <w:spacing w:after="0" w:line="14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Geographic concentration of our properties makes our business vulnerable to natural disasters and severe weather conditions, which could have an adverse effect on our cash flow and operating results.</w:t>
      </w:r>
    </w:p>
    <w:p>
      <w:pPr>
        <w:spacing w:after="0" w:line="24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 significant portion of our property gross leasable area is located in areas that are susceptible to the harmful effects of earthquakes, tropical storms, hurricanes, tornadoes, wildfires, and similar natural disasters. As of December 31, 2012, approximately 23.4%, 14.9%, and 9.5% of our property gross leasable area, on a pro-rata basis, was located in California, Florida, and Texas, respectively. Intense weather conditions during the last decade have caused our cost of property insurance to increase significantly. While much of the cost of this insurance is passed on to our tenants as reimbursable property costs, some tenants do not pay a pro rata share of these costs under their leases. These weather conditions also disrupt our business and the business of our tenants, which could affect the ability of some tenants to pay rent and may reduce the willingness of residents to remain in or move to the affected area. Therefore, as a result of the geographic concentration of our properties, we face demonstrable risks, including higher costs, such as uninsured property losses and higher insurance premiums, and disruptions to our business and the businesses of our tenants.</w:t>
      </w:r>
    </w:p>
    <w:p>
      <w:pPr>
        <w:spacing w:after="0" w:line="40"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An uninsured loss or a loss that exceeds the insurance policies on our properties could subject us to loss of capital or revenue on those properties.</w:t>
      </w:r>
    </w:p>
    <w:p>
      <w:pPr>
        <w:spacing w:after="0" w:line="26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carry comprehensive liability, fire, flood, extended coverage, rental loss, and environmental insurance for our properties with policy specifications and insured limits customarily carried for similar properties. We believe that the insurance carried on our properties is adequate and consistent with industry standards. There are, however, some types of losses, such as from hurricanes, terrorism, wars or earthquakes, which may be uninsurable, or the cost of insuring against such losses may not be economically justifiable. In addition, tenants generally are required to indemnify and hold us harmless from liabilities resulting from injury to persons or damage to personal or real property, on or off the premises, due to activities conducted by tenants or their agents on the properties (including without limitation any environmental contamination), and at the tenant's expense, to obtain and keep in full force during the term of the lease, liability and property damage insurance policies. However, our tenants may not properly maintain their insurance policies or have the ability to pay the deductibles associated with such policies. Should a loss occur that is uninsured or in an amount exceeding the combined aggregate limits for the policies noted above, or in the event of a loss that is subject to a substantial deductible under an insurance policy, we could lose all or part of our capital invested in, and anticipated revenue from, one or more of the properties, which could have a material adverse effect on our operating results and financial condition, as well as our ability to make distributions to stock and unit holders.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personnel could adversely affect the value of our Parent Company's stock price.</w:t>
      </w:r>
    </w:p>
    <w:p>
      <w:pPr>
        <w:spacing w:after="0" w:line="9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depend on the efforts of our key executive personnel. Although we believe qualified replacements could be found for our key executives, the loss of their services could adversely affect our Parent Company's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competition from numerous sources, including other real estate investment trusts and small real estate owners.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ownership of shopping centers is highly fragmented. We face competition from other real estate investment trusts as well as from numerous small owners in the acquisition, ownership, and leasing of shopping centers. We compete to develop shopping centers with other real estate investment trusts engaged in development activities as well as with local, regional, and national real estate developers. If we cannot successfully compete in our targeted markets, our cash flow, and therefore distributions to stock and unit holders, may be adversely affected.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Costs of environmental remediation could reduce our cash flow available for distribution to stock and unit holders.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Under various federal, state and local laws, an owner or manager of real property may be liable for the costs of removal or remediation of hazardous or toxic substances on the property. These laws often impose liability without regard to whether the owner knew of, or was responsible for, the presence of hazardous or toxic substances. The cost of any required remediation could exceed the value of the property and/or the aggregate assets of the owner or the responsible party. The presence of, or the failure to properly remediate, hazardous or toxic substances may adversely affect our ability to sell or lease a contaminated property or to borrow using the property as collateral. Any of these developments could reduce cash flow and our ability to make distributions to stock and unit holders.</w:t>
      </w:r>
    </w:p>
    <w:p>
      <w:pPr>
        <w:spacing w:after="0" w:line="18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Compliance with the Americans with Disabilities Act and fire, safety and other regulations may require us to make unintended expenditures that adversely affect our cash flows.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All of our properties are required to comply with the Americans with Disabilities Act (“ADA”). The ADA has separate compliance requirements for “public accommodations” and “commercial facilities,” but generally requires that buildings be made accessible to people with disabilities. Compliance with the ADA requirements could require removal of access barriers, and noncompliance could result in imposition of fines by the U.S. government or an award of damages to private litigants, or both. While the tenants to whom we lease properties are obligated by law to comply with the ADA provisions, and typically under tenant leases are obligated to cover costs associated with compliance, if required changes involve greater expenditures than anticipated, or if the changes must be made on a more accelerated basis than anticipated, the ability of these tenants to cover costs could be adversely affected. In addition, we are required to operate the properties in compliance with fire and safety regulations, building codes and other land use regulations, as they may be adopted by governmental entities and become applicable to the properties. We may be required to make substantial capital expenditures to comply with these requirements, and these expenditures could have a material adverse effect on our ability to meet our financial obligations and make distributions to our stock and unit holders.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maintain the security of tenant-related information, we could incur substantial additional costs and become subject to litigation.</w:t>
      </w:r>
    </w:p>
    <w:p>
      <w:pPr>
        <w:spacing w:after="0" w:line="24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have implemented an online payment system where we receive certain information about our tenants that depends upon secure transmissions of confidential information over public networks, including information permitting cashless payments. A compromise of our security systems that results in information being obtained by unauthorized persons could adversely affect our operations, results of operations, financial condition and liquidity, and could result in litigation against us or the imposition of penalties. In addition, a security breach could require that we expend significant additional resources related to our information security systems and could result in a disruption of our operations.</w:t>
      </w:r>
    </w:p>
    <w:p>
      <w:pPr>
        <w:spacing w:after="0" w:line="16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rely extensively on computer systems to process transactions and manage our business. Disruptions in both our primary and secondary (back-up) systems could harm our ability to run our business.</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Although we have independent, redundant and physically separate primary and secondary computer systems, it is critical that we maintain uninterrupted operation of our business-critical computer systems. Our computer systems, including our back-up systems, are subject to damage or interruption from power outages, computer and telecommunications failures, computer viruses, security breaches, catastrophic events such as fires, tornadoes and hurricanes, and usage errors by our employees. If our computer systems and our back-up systems are damaged or cease to function properly, we may have to make a significant investment to repair or replace them, and we may suffer interruptions in our operations in the interim. Any material interruption in both of our computer systems and back-up systems may have a material adverse effect on our business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Co-investment Partnerships and Acquisition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have voting control over our joint venture investments, so we are unable to ensure that our objectives will be pursued.</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have invested as a partner in a number of joint venture investments for the acquisition or development of properties. These investments involve risks not present in a wholly-owned project. We do not have voting control over the ventures. The other partner might (i) have interests or goals that are inconsistent with our interests or goals or (ii) otherwise impede our objectives. The other partner also might become insolvent or bankrupt. These factors could limit the return that we receive from such investments or cause our cash flows to be lower than our estimates.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12" w:name="page13"/>
    <w:bookmarkEnd w:id="12"/>
    <w:p>
      <w:pPr>
        <w:ind w:right="180"/>
        <w:spacing w:after="0" w:line="282" w:lineRule="auto"/>
        <w:rPr>
          <w:sz w:val="20"/>
          <w:szCs w:val="20"/>
          <w:color w:val="auto"/>
        </w:rPr>
      </w:pPr>
      <w:r>
        <w:rPr>
          <w:rFonts w:ascii="Arial" w:cs="Arial" w:eastAsia="Arial" w:hAnsi="Arial"/>
          <w:sz w:val="18"/>
          <w:szCs w:val="18"/>
          <w:b w:val="1"/>
          <w:bCs w:val="1"/>
          <w:color w:val="auto"/>
        </w:rPr>
        <w:t>The termination of our co-investment partnerships could adversely affect our cash flow, operating results, and our ability to make distributions to stock and unit holders.</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co-investment partnerships owning a significant number of properties were dissolved for any reason, we would lose the asset and property management fees from these co-investment partnerships, which could adversely affect our operating results and our cash available for distribution to stock and unit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Funding Strategies and Capital Structure</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Higher market capitalization rates for our properties could adversely impact our ability to sell properties and fund developments and acquisitions, and could dilute earnings.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part of our funding strategy, we sell operating properties that no longer meet our investment standards. These sales proceeds are used to fund the construction of new developments. An increase in market capitalization rates could cause a reduction in the value of centers identified for sale, which would have an adverse impact on the amount of cash generated. In order to meet the cash requirements of our development program, we may be required to sell more properties than initially planned, which could have a negative impact on our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external sources of capital, which may not be available in the future on favorable terms or at all.</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To qualify as a REIT, the Parent Company must, among other things, distribute to its stockholders each year at least 90% of its REIT taxable income (excluding any net capital gains). Because of these distribution requirements, we will likely not be able to fund all future capital needs, including capital for acquisitions or developments, with income from operations. We therefore will have to rely on third-party sources of capital, which may or may not be available on favorable terms or at all. Our access to third-party sources of capital depends on a number of things, including the market's perception of our growth potential and our current and potential future earnings. Our access to debt depends on our credit rating, the willingness of creditors to lend to us and conditions in the capital markets. In addition to finding creditors willing to lend to us, we are dependent upon our joint venture partners to contribute their share of any amount needed to repay or refinance existing debt when lenders reduce the amount of debt our joint ventures are eligible to refinance.</w:t>
      </w:r>
    </w:p>
    <w:p>
      <w:pPr>
        <w:spacing w:after="0" w:line="1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addition, our existing debt arrangements also impose covenants that limit our flexibility in obtaining other financing, such as a prohibition on negative pledge agreements. Additional equity offerings may result in substantial dilution of stockholders' interests and additional debt financing may substantially increase our degree of leverage.</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Without access to external sources of capital, we would be required to pay outstanding debt with our operating cash flows and proceeds from property sales. Our operating cash flows may not be sufficient to pay our outstanding debt as it comes due and real estate investments generally cannot be sold quickly at a return we believe is appropriate. If we are required to deleverage our business with operating cash flows and proceeds from property sales, we may be forced to reduce the amount of, or eliminate altogether, our distributions to stock and unit holders or refrain from making investments in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financing may reduce distributions to stock and unit holders.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organizational documents do not limit the amount of debt that we may incur. In addition, we do not expect to generate sufficient funds from operations to make balloon principal payments on our debt when due. If we are unable to refinance our debt on acceptable terms, we might be forced (i) to dispose of properties, which might result in losses, or (ii) to obtain financing at unfavorable terms. Either could reduce the cash flow available for distributions to stock and unit holders. If we cannot make required mortgage payments, the mortgagee could foreclose on the property securing the mortgage, causing the loss of cash flow from that property.</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8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Covenants in our debt agreements may restrict our operating activities and adversely affect our financial condition.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unsecured notes, unsecured term loan, and unsecured line of credit contain customary covenants, including compliance with financial ratios, such as ratio of total debt to gross asset value and fixed charge coverage ratio. Fixed charge coverage ratio is defined as earnings before interest, taxes, depreciation and amortization ("EBITDA") divided by the sum of interest expense and scheduled mortgage principal paid to our lenders plus dividends paid to our preferred stockholders. Our debt arrangements also restrict our ability to enter into a transaction that would result in a change of control. These covenants may limit our operational flexibility and our acquisition activities. Moreover, if we breach any of the covenants in our debt agreements, and did not cure the breach within the applicable cure period, our lenders could require us to repay the debt immediately, even in the absence of a payment default. Many of our debt arrangements, including our unsecured notes, unsecured term loan, and unsecured line of credit are cross-defaulted, which means that the lenders under those debt arrangements can put us in default and require immediate repayment of their debt if we breach and fail to cure a default under certain of our other material debt obligations. As a result, any default under our debt covenants could have an adverse effect on our financial condition, our results of operations, our ability to meet our obligations, and the market value of our stock.</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would cause our borrowing costs to rise and negatively impact our results of operations.</w:t>
      </w:r>
    </w:p>
    <w:p>
      <w:pPr>
        <w:spacing w:after="0" w:line="229"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While a significant amount of our outstanding debt has fixed interest rates, we do borrow funds at variable interest rates under our credit facilities. Increases in interest rates would increase our interest expense on any variable rate debt, in addition, increases in interest rates will affect the terms under which we refinance our existing debt as it matures.</w:t>
      </w:r>
    </w:p>
    <w:p>
      <w:pPr>
        <w:ind w:right="280"/>
        <w:spacing w:after="0" w:line="261" w:lineRule="auto"/>
        <w:rPr>
          <w:sz w:val="20"/>
          <w:szCs w:val="20"/>
          <w:color w:val="auto"/>
        </w:rPr>
      </w:pPr>
      <w:r>
        <w:rPr>
          <w:rFonts w:ascii="Arial" w:cs="Arial" w:eastAsia="Arial" w:hAnsi="Arial"/>
          <w:sz w:val="18"/>
          <w:szCs w:val="18"/>
          <w:color w:val="auto"/>
        </w:rPr>
        <w:t>This would reduce our future earnings and cash flows, which could adversely affect our ability to service our debt and meet our other obligations and also could reduce the amount we are able to distribute to our stock and unit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Interest Rates and the Market Price for Our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economic and market conditions could adversely affect the Parent Company's stock price.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may fluctuate significantly in response to many factors, many of which are out of our control, including:</w:t>
      </w:r>
    </w:p>
    <w:p>
      <w:pPr>
        <w:spacing w:after="0" w:line="102" w:lineRule="exact"/>
        <w:rPr>
          <w:sz w:val="20"/>
          <w:szCs w:val="20"/>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or dividends;</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funds from operations or earnings estimates;</w:t>
      </w:r>
    </w:p>
    <w:p>
      <w:pPr>
        <w:spacing w:after="0" w:line="9" w:lineRule="exact"/>
        <w:rPr>
          <w:rFonts w:ascii="Arial" w:cs="Arial" w:eastAsia="Arial" w:hAnsi="Arial"/>
          <w:sz w:val="18"/>
          <w:szCs w:val="18"/>
          <w:color w:val="auto"/>
        </w:rPr>
      </w:pPr>
    </w:p>
    <w:p>
      <w:pPr>
        <w:ind w:left="1620" w:right="380" w:hanging="315"/>
        <w:spacing w:after="0" w:line="250"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publication of research reports about us or the real estate industry in general and recommendations by financial analysts or actions taken by rating agencies with respect to our securities or those of other REIT's;</w:t>
      </w:r>
    </w:p>
    <w:p>
      <w:pPr>
        <w:ind w:left="1620" w:right="60" w:hanging="315"/>
        <w:spacing w:after="0" w:line="250"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tenants to pay rent and meet their other obligations to us under current lease terms and our ability to re-lease space as leases expire;</w:t>
      </w: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market interest rates that drive purchasers of our stock to demand a higher dividend yield;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market reaction to any additional debt we incur in the future;</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future issuances of equity securities;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factors may cause the market price of our common stock to decline, regardless of our financial condition, results of operations, business or prospects. It is impossible to ensure that the market price of our common stock will not fall in the future. A decrease in the market price of our common stock could reduce our ability to raise additional equity in the public markets. Selling common stock at a decreased market price would have a dilutive impact on existing stockholders.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Risk Factors Related to Federal Income Tax Laws</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the Parent Company fails to qualify as a REIT for federal income tax purposes, it would be subject to federal income tax at regular corporate rates.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believe that we qualify for taxation as a REIT for federal income tax purposes, and we plan to operate so that we can continue to meet the requirements for taxation as a REIT. If we qualify as a REIT, we generally will not be subject to federal income tax on our income that we distribute currently to our stockholders. Many of the REIT requirements, however, are highly technical and complex. The determination that we are a REIT requires an analysis of various factual matters and circumstances, some of which may not be totally within our control and some of which involve questions of interpretation. For example, to qualify as a REIT, at least 95% of our gross income must come from specific passive sources, like rent, that are itemized in the REIT tax laws. There can be no assurance that the Internal Revenue Service (“IRS”) or a court would agree with the positions we have taken in interpreting the REIT requirements. We are also required to distribute to our stockholders at least 90% of our REIT taxable income, excluding capital gains. The fact that we hold many of our assets through co-investment partnerships and their subsidiaries further complicates the application of the REIT requirements. Even a technical or inadvertent mistake could jeopardize our REIT status. Furthermore, Congress and the IRS might make changes to the tax laws and regulations, and the courts might issue new rulings, that make it more difficult, or impossible, for us to remain qualified as a REIT.</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Also, unless the IRS granted us relief under certain statutory provisions, we would remain disqualified as a REIT for four years following the year we first failed to qualify. If we failed to qualify as a REIT (currently and/or with respect to any tax years for which the statute of limitations has not expired), we would have to pay significant income taxes, reducing cash available to pay dividends, which would likely have a significant adverse effect on the value of our securities. In addition, we would no longer be required to pay any dividends to stockholders. Although we believe that we qualify as a REIT, we cannot assure you that we will continue to qualify or remain qualified as a REIT for tax purposes.</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Even if we qualify as a REIT for federal income tax purposes, we are required to pay certain federal, state and local taxes on our income and property. For example, if we have net income from “prohibited transactions,” that income will be subject to a 100% tax. In general, prohibited transactions include sales or other dispositions of property held primarily for sale to customers in the ordinary course of business. The determination as to whether a particular sale is a prohibited transaction depends on the facts and circumstances related to that sale. While we have undertaken a significant number of asset sales in recent years, we do not believe that those sales should be considered prohibited transactions, but there can be no assurance that the IRS would not contend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Ownership Limitations and the Florida Business Corporation Act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the ownership of the Parent Company's capital stock to preserve our REIT status could delay or prevent a change in control.</w:t>
      </w:r>
    </w:p>
    <w:p>
      <w:pPr>
        <w:spacing w:after="0" w:line="24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Ownership of more than 7% by value of our outstanding capital stock is prohibited, with certain exceptions, by our articles of incorporation, for the purpose of maintaining our qualification as a REIT. This 7% limitation may discourage a change in control and may also (i) deter tender offers for our capital stock, which offers may be attractive to our stockholders, or (ii) limit the opportunity for our stockholders to receive a premium for their capital stock that might otherwise exist if an investor attempted to assemble a block in excess of 7% of our outstanding capital stock or to affect a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issuance of the Parent Company's capital stock could delay or prevent a change in control.</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articles of incorporation authorize our Board of Directors to issue up to 30,000,000 shares of preferred stock and 10,000,000 shares of special common stock and to establish the preferences and rights of any shares issued. The issuance of preferred stock or special common stock could have the effect of delaying or preventing a change in control. The provisions of the Florida Business Corporation Act regarding control share acquisitions and affiliated transactions could also deter potential acquisitions by preventing the acquiring party from voting the common stock it acquires or consummating a merger or other extraordinary corporate transaction without the approval of our disinterested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0" w:right="279" w:bottom="1440" w:gutter="0" w:footer="0" w:header="0"/>
        </w:sectPr>
      </w:pPr>
    </w:p>
    <w:bookmarkStart w:id="15" w:name="page16"/>
    <w:bookmarkEnd w:id="1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is a list of the shopping centers summarized by state and in order of largest holdings presented for Consolidated Properties (excludes properties owned by unconsolidated co-investment partnerships):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December 31, 2012</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December 31, 2011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3"/>
                <w:szCs w:val="13"/>
                <w:color w:val="auto"/>
              </w:rPr>
            </w:pPr>
          </w:p>
        </w:tc>
        <w:tc>
          <w:tcPr>
            <w:tcW w:w="10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2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GLA (in</w:t>
            </w:r>
          </w:p>
        </w:tc>
        <w:tc>
          <w:tcPr>
            <w:tcW w:w="13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 Total</w:t>
            </w:r>
          </w:p>
        </w:tc>
        <w:tc>
          <w:tcPr>
            <w:tcW w:w="1080" w:type="dxa"/>
            <w:vAlign w:val="bottom"/>
          </w:tcPr>
          <w:p>
            <w:pPr>
              <w:jc w:val="right"/>
              <w:ind w:right="39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GLA (in</w:t>
            </w:r>
          </w:p>
        </w:tc>
        <w:tc>
          <w:tcPr>
            <w:tcW w:w="13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 Total</w:t>
            </w:r>
          </w:p>
        </w:tc>
        <w:tc>
          <w:tcPr>
            <w:tcW w:w="108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GLA</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Leased</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GLA</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Florida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Ohio</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Colorado</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Oregon</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Missouri</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Tennessee</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Nevada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Alabama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South Carolina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Kentucky</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22,532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Consolidated Properties are encumbered by mortgage loans of $474.0 million as of December 31, 2012.</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weighted average annual effective rent for the consolidated portfolio of properties, net of tenant concessions, is $16.95 per square foot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6" w:name="page17"/>
    <w:bookmarkEnd w:id="16"/>
    <w:p>
      <w:pPr>
        <w:ind w:right="140" w:firstLine="648"/>
        <w:spacing w:after="0" w:line="264" w:lineRule="auto"/>
        <w:rPr>
          <w:sz w:val="20"/>
          <w:szCs w:val="20"/>
          <w:color w:val="auto"/>
        </w:rPr>
      </w:pPr>
      <w:r>
        <w:rPr>
          <w:rFonts w:ascii="Arial" w:cs="Arial" w:eastAsia="Arial" w:hAnsi="Arial"/>
          <w:sz w:val="18"/>
          <w:szCs w:val="18"/>
          <w:color w:val="auto"/>
        </w:rPr>
        <w:t>The following table is a list of the shopping centers summarized by state and in order of largest holdings presented for Unconsolidated Properties (includes properties owned by unconsolidated co-investment partnerships, excluding the properties of BRE Throne, LLC ("BRET") as the property holdings of BRET do not impact the rate of return on Regency's preferred stock investment):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December 31, 2012</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December 31, 2011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3"/>
                <w:szCs w:val="13"/>
                <w:color w:val="auto"/>
              </w:rPr>
            </w:pPr>
          </w:p>
        </w:tc>
        <w:tc>
          <w:tcPr>
            <w:tcW w:w="10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2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GLA (in</w:t>
            </w:r>
          </w:p>
        </w:tc>
        <w:tc>
          <w:tcPr>
            <w:tcW w:w="13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 Total</w:t>
            </w:r>
          </w:p>
        </w:tc>
        <w:tc>
          <w:tcPr>
            <w:tcW w:w="1080" w:type="dxa"/>
            <w:vAlign w:val="bottom"/>
          </w:tcPr>
          <w:p>
            <w:pPr>
              <w:jc w:val="right"/>
              <w:ind w:right="39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GLA (in</w:t>
            </w:r>
          </w:p>
        </w:tc>
        <w:tc>
          <w:tcPr>
            <w:tcW w:w="13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 Total</w:t>
            </w:r>
          </w:p>
        </w:tc>
        <w:tc>
          <w:tcPr>
            <w:tcW w:w="108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GLA</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Leased</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GLA</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Virginia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North Carolina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Colorado</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Minnesota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Ohio</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Carolina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Wisconsin</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Connecticut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Jersey</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Massachusetts</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Indiana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Alabama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 of Columbia</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17,762</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18,399</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Unconsolidated Properties are encumbered by mortgage loans of $1.8 billion as of December 31, 2012.</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weighted average annual effective rent for the unconsolidated portfolio of properties, net of tenant concessions, is $17.03 per square foot as of December 31, 2012.</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6" w:right="239" w:bottom="1440" w:gutter="0" w:footer="0" w:header="0"/>
          <w:type w:val="continuous"/>
        </w:sectPr>
      </w:pPr>
    </w:p>
    <w:bookmarkStart w:id="17" w:name="page18"/>
    <w:bookmarkEnd w:id="17"/>
    <w:p>
      <w:pPr>
        <w:ind w:right="80" w:firstLine="648"/>
        <w:spacing w:after="0" w:line="264" w:lineRule="auto"/>
        <w:rPr>
          <w:sz w:val="20"/>
          <w:szCs w:val="20"/>
          <w:color w:val="auto"/>
        </w:rPr>
      </w:pPr>
      <w:r>
        <w:rPr>
          <w:rFonts w:ascii="Arial" w:cs="Arial" w:eastAsia="Arial" w:hAnsi="Arial"/>
          <w:sz w:val="18"/>
          <w:szCs w:val="18"/>
          <w:color w:val="auto"/>
        </w:rPr>
        <w:t>The following table summarizes the largest tenants occupying our shopping centers for Consolidated Properties plus Regency's pro-rata share of Unconsolidated Properties, excluding the properties of BRET, as of December 31, 2012, based upon a percentage of total annualized base rent exceeding or equal to 0.5% (GLA and dollars in thousands):</w:t>
      </w:r>
    </w:p>
    <w:p>
      <w:pPr>
        <w:spacing w:after="0" w:line="28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Percentage of</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Anchor</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Tenant</w:t>
            </w:r>
          </w:p>
        </w:tc>
        <w:tc>
          <w:tcPr>
            <w:tcW w:w="320" w:type="dxa"/>
            <w:vAlign w:val="bottom"/>
            <w:vMerge w:val="restart"/>
          </w:tcPr>
          <w:p>
            <w:pPr>
              <w:spacing w:after="0"/>
              <w:rPr>
                <w:sz w:val="12"/>
                <w:szCs w:val="12"/>
                <w:color w:val="auto"/>
              </w:rPr>
            </w:pPr>
          </w:p>
        </w:tc>
        <w:tc>
          <w:tcPr>
            <w:tcW w:w="10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GLA</w:t>
            </w:r>
          </w:p>
        </w:tc>
        <w:tc>
          <w:tcPr>
            <w:tcW w:w="3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Company Owned</w:t>
            </w:r>
          </w:p>
        </w:tc>
        <w:tc>
          <w:tcPr>
            <w:tcW w:w="340" w:type="dxa"/>
            <w:vAlign w:val="bottom"/>
          </w:tcPr>
          <w:p>
            <w:pPr>
              <w:spacing w:after="0"/>
              <w:rPr>
                <w:sz w:val="12"/>
                <w:szCs w:val="12"/>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Rent</w:t>
            </w:r>
          </w:p>
        </w:tc>
        <w:tc>
          <w:tcPr>
            <w:tcW w:w="340" w:type="dxa"/>
            <w:vAlign w:val="bottom"/>
            <w:vMerge w:val="restart"/>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Annualized Base</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Leased</w:t>
            </w:r>
          </w:p>
        </w:tc>
        <w:tc>
          <w:tcPr>
            <w:tcW w:w="9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92"/>
        </w:trPr>
        <w:tc>
          <w:tcPr>
            <w:tcW w:w="26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Rent</w:t>
            </w:r>
          </w:p>
        </w:tc>
        <w:tc>
          <w:tcPr>
            <w:tcW w:w="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xml:space="preserve">Stores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Kroger</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1,987</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Publix</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1,948</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19,041</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Safeway</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1,535</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Supervalu</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774</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9,559</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CVS</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8,051</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TJX Companies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7,081</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Whole Foods</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5,485</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PETCO</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5,450</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Ahold</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Ross Dress For Less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4,341</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H.E.B.</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Walgreens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3,906</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JPMorgan Chase Bank</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Sears Holdings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3,445</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Trader Joe's</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Starbucks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3,335</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Wells Fargo Bank</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Rite Aid</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3,206</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3,183</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Sports Authority</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3,063</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Harris Teeter</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Target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2,884</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Subway</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Toys "R" Us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2,750</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Michael's</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Wal-Mart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2,466</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Hallmark</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2,406</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Stores owned by anchor tenant that are attached to our centers.</w:t>
      </w:r>
    </w:p>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Regency's leases for tenant space under 5,000 square feet generally have terms ranging from three to five years. Leases greater than 10,000 square feet generally have lease terms in excess of five years, mostly comprised of anchor tenants. Many of the anchor leases contain provisions allowing the tenant the option of extending the term of the lease at expiration. The leases provide for the monthly payment in advance of fixed minimum rent, additional rents calculated as a percentage of the tenant's sales, the tenant's pro-rata share of real estate taxes, insurance, and common area maintenance (“CAM”) expenses, and reimbursement for utility costs if not directly metered.</w:t>
      </w:r>
    </w:p>
    <w:p>
      <w:pPr>
        <w:sectPr>
          <w:pgSz w:w="11900" w:h="16838" w:orient="portrait"/>
          <w:cols w:equalWidth="0" w:num="1">
            <w:col w:w="11300"/>
          </w:cols>
          <w:pgMar w:left="240" w:top="10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00"/>
          </w:cols>
          <w:pgMar w:left="240" w:top="1017" w:right="359" w:bottom="1440" w:gutter="0" w:footer="0" w:header="0"/>
          <w:type w:val="continuous"/>
        </w:sectPr>
      </w:pPr>
    </w:p>
    <w:bookmarkStart w:id="18" w:name="page19"/>
    <w:bookmarkEnd w:id="18"/>
    <w:p>
      <w:pPr>
        <w:ind w:firstLine="648"/>
        <w:spacing w:after="0" w:line="277" w:lineRule="auto"/>
        <w:rPr>
          <w:sz w:val="20"/>
          <w:szCs w:val="20"/>
          <w:color w:val="auto"/>
        </w:rPr>
      </w:pPr>
      <w:r>
        <w:rPr>
          <w:rFonts w:ascii="Arial" w:cs="Arial" w:eastAsia="Arial" w:hAnsi="Arial"/>
          <w:sz w:val="18"/>
          <w:szCs w:val="18"/>
          <w:color w:val="auto"/>
        </w:rPr>
        <w:t>The following table sets forth a schedule of lease expirations for the next ten years and thereafter, assuming no tenants renew their leases (GLA and dollars in thousands):</w:t>
      </w:r>
    </w:p>
    <w:p>
      <w:pPr>
        <w:spacing w:after="0" w:line="271"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Lease Expiration</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 Tenants</w:t>
            </w: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xml:space="preserve">Expiring GLA </w:t>
            </w:r>
            <w:r>
              <w:rPr>
                <w:rFonts w:ascii="Arial" w:cs="Arial" w:eastAsia="Arial" w:hAnsi="Arial"/>
                <w:sz w:val="8"/>
                <w:szCs w:val="8"/>
                <w:b w:val="1"/>
                <w:bCs w:val="1"/>
                <w:color w:val="auto"/>
              </w:rPr>
              <w:t>(2)</w:t>
            </w: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 of Total</w:t>
            </w:r>
          </w:p>
        </w:tc>
        <w:tc>
          <w:tcPr>
            <w:tcW w:w="260" w:type="dxa"/>
            <w:vAlign w:val="bottom"/>
          </w:tcPr>
          <w:p>
            <w:pPr>
              <w:spacing w:after="0"/>
              <w:rPr>
                <w:sz w:val="14"/>
                <w:szCs w:val="14"/>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Minimum Rent Expiring</w:t>
            </w:r>
          </w:p>
        </w:tc>
        <w:tc>
          <w:tcPr>
            <w:tcW w:w="1320" w:type="dxa"/>
            <w:vAlign w:val="bottom"/>
          </w:tcPr>
          <w:p>
            <w:pPr>
              <w:jc w:val="right"/>
              <w:ind w:right="27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with Expiring Leases</w:t>
            </w:r>
          </w:p>
        </w:tc>
        <w:tc>
          <w:tcPr>
            <w:tcW w:w="1480" w:type="dxa"/>
            <w:vAlign w:val="bottom"/>
            <w:gridSpan w:val="2"/>
            <w:vMerge w:val="continue"/>
          </w:tcPr>
          <w:p>
            <w:pPr>
              <w:spacing w:after="0"/>
              <w:rPr>
                <w:sz w:val="16"/>
                <w:szCs w:val="16"/>
                <w:color w:val="auto"/>
              </w:rPr>
            </w:pPr>
          </w:p>
        </w:tc>
        <w:tc>
          <w:tcPr>
            <w:tcW w:w="1300" w:type="dxa"/>
            <w:vAlign w:val="bottom"/>
          </w:tcPr>
          <w:p>
            <w:pPr>
              <w:jc w:val="right"/>
              <w:ind w:right="12"/>
              <w:spacing w:after="0"/>
              <w:rPr>
                <w:sz w:val="20"/>
                <w:szCs w:val="20"/>
                <w:color w:val="auto"/>
              </w:rPr>
            </w:pPr>
            <w:r>
              <w:rPr>
                <w:rFonts w:ascii="Arial" w:cs="Arial" w:eastAsia="Arial" w:hAnsi="Arial"/>
                <w:sz w:val="14"/>
                <w:szCs w:val="14"/>
                <w:b w:val="1"/>
                <w:bCs w:val="1"/>
                <w:color w:val="auto"/>
              </w:rPr>
              <w:t xml:space="preserve">Company GLA </w:t>
            </w:r>
            <w:r>
              <w:rPr>
                <w:rFonts w:ascii="Arial" w:cs="Arial" w:eastAsia="Arial" w:hAnsi="Arial"/>
                <w:sz w:val="8"/>
                <w:szCs w:val="8"/>
                <w:b w:val="1"/>
                <w:bCs w:val="1"/>
                <w:color w:val="auto"/>
              </w:rPr>
              <w:t>(2)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 xml:space="preserve">Leases </w:t>
            </w:r>
            <w:r>
              <w:rPr>
                <w:rFonts w:ascii="Arial" w:cs="Arial" w:eastAsia="Arial" w:hAnsi="Arial"/>
                <w:sz w:val="8"/>
                <w:szCs w:val="8"/>
                <w:b w:val="1"/>
                <w:bCs w:val="1"/>
                <w:color w:val="auto"/>
                <w:w w:val="88"/>
              </w:rPr>
              <w:t>(3)</w:t>
            </w:r>
          </w:p>
        </w:tc>
        <w:tc>
          <w:tcPr>
            <w:tcW w:w="1320" w:type="dxa"/>
            <w:vAlign w:val="bottom"/>
          </w:tcPr>
          <w:p>
            <w:pPr>
              <w:jc w:val="right"/>
              <w:ind w:right="32"/>
              <w:spacing w:after="0"/>
              <w:rPr>
                <w:sz w:val="20"/>
                <w:szCs w:val="20"/>
                <w:color w:val="auto"/>
              </w:rPr>
            </w:pPr>
            <w:r>
              <w:rPr>
                <w:rFonts w:ascii="Arial" w:cs="Arial" w:eastAsia="Arial" w:hAnsi="Arial"/>
                <w:sz w:val="14"/>
                <w:szCs w:val="14"/>
                <w:b w:val="1"/>
                <w:bCs w:val="1"/>
                <w:color w:val="auto"/>
              </w:rPr>
              <w:t xml:space="preserve">Minimum Rent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37,980</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47,824</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48,383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64,138</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20,302</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22,711</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20,094</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Thereafter</w:t>
            </w: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78,048</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450,374</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ind w:left="1500" w:hanging="195"/>
        <w:spacing w:after="0" w:line="220" w:lineRule="auto"/>
        <w:tabs>
          <w:tab w:leader="none" w:pos="15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Leases currently under month-to-month rent or in process of renewal.</w:t>
      </w:r>
    </w:p>
    <w:p>
      <w:pPr>
        <w:spacing w:after="0" w:line="56" w:lineRule="exact"/>
        <w:rPr>
          <w:rFonts w:ascii="Arial" w:cs="Arial" w:eastAsia="Arial" w:hAnsi="Arial"/>
          <w:sz w:val="23"/>
          <w:szCs w:val="23"/>
          <w:color w:val="auto"/>
          <w:vertAlign w:val="superscript"/>
        </w:rPr>
      </w:pPr>
    </w:p>
    <w:p>
      <w:pPr>
        <w:ind w:left="1480" w:hanging="175"/>
        <w:spacing w:after="0" w:line="213" w:lineRule="auto"/>
        <w:tabs>
          <w:tab w:leader="none" w:pos="14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Represents GLA for Consolidated Properties plus Regency's pro-rata share of Unconsolidated Properties.</w:t>
      </w:r>
    </w:p>
    <w:p>
      <w:pPr>
        <w:spacing w:after="0" w:line="55" w:lineRule="exact"/>
        <w:rPr>
          <w:rFonts w:ascii="Arial" w:cs="Arial" w:eastAsia="Arial" w:hAnsi="Arial"/>
          <w:sz w:val="21"/>
          <w:szCs w:val="21"/>
          <w:color w:val="auto"/>
          <w:vertAlign w:val="superscript"/>
        </w:rPr>
      </w:pPr>
    </w:p>
    <w:p>
      <w:pPr>
        <w:ind w:left="1300" w:right="1480" w:firstLine="5"/>
        <w:spacing w:after="0" w:line="254" w:lineRule="auto"/>
        <w:tabs>
          <w:tab w:leader="none" w:pos="1492"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Minimum rent includes current minimum rent and future contractual rent steps for the Consolidated Properties plus Regency's pro-rata share from Unconsolidated Properties, but excludes additional rent such as percentage rent, common area maintenance, real estate taxes and insurance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-769620</wp:posOffset>
            </wp:positionV>
            <wp:extent cx="4853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6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See the following property table and also see Item 7, Management's Discussion and Analysis for further information about Regency's properties.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9"/>
              </w:rPr>
              <w:t>Gross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Leasable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Area</w:t>
            </w:r>
          </w:p>
        </w:tc>
        <w:tc>
          <w:tcPr>
            <w:tcW w:w="6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 xml:space="preserve">Leased </w:t>
            </w:r>
            <w:r>
              <w:rPr>
                <w:rFonts w:ascii="Arial" w:cs="Arial" w:eastAsia="Arial" w:hAnsi="Arial"/>
                <w:sz w:val="8"/>
                <w:szCs w:val="8"/>
                <w:b w:val="1"/>
                <w:bCs w:val="1"/>
                <w:color w:val="auto"/>
                <w:w w:val="89"/>
              </w:rPr>
              <w:t>(3)</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Borders>
              <w:bottom w:val="single" w:sz="8" w:color="CCEEFF"/>
            </w:tcBorders>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CALIFORNIA</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Los Angeles / Southern CA</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Amerige Heights Town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89,181</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Albertsons, (Target)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 xml:space="preserve">Brea Marketplace </w:t>
            </w:r>
            <w:r>
              <w:rPr>
                <w:rFonts w:ascii="Arial" w:cs="Arial" w:eastAsia="Arial" w:hAnsi="Arial"/>
                <w:sz w:val="8"/>
                <w:szCs w:val="8"/>
                <w:color w:val="auto"/>
              </w:rPr>
              <w:t>(5)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352,226</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98.1%</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Sprout's Markets, Target</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24 Hour Fitness, Big 5 Sporting Goods, Beverages &amp; More!, Childtime Childcare,</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Golfsmith</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El Camino Shopping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135,728</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Von's Food &amp; Drug</w:t>
            </w:r>
          </w:p>
        </w:tc>
        <w:tc>
          <w:tcPr>
            <w:tcW w:w="4340" w:type="dxa"/>
            <w:vAlign w:val="bottom"/>
          </w:tcPr>
          <w:p>
            <w:pPr>
              <w:ind w:left="40"/>
              <w:spacing w:after="0"/>
              <w:rPr>
                <w:sz w:val="20"/>
                <w:szCs w:val="20"/>
                <w:color w:val="auto"/>
              </w:rPr>
            </w:pPr>
            <w:r>
              <w:rPr>
                <w:rFonts w:ascii="Arial" w:cs="Arial" w:eastAsia="Arial" w:hAnsi="Arial"/>
                <w:sz w:val="13"/>
                <w:szCs w:val="13"/>
                <w:color w:val="auto"/>
              </w:rPr>
              <w:t>Sav-On Drugs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Granada Village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225,528</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Sprout's Markets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 TJ Maxx, Stein Mart, PETCO, Homegoods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Hasley Canyon Village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65,801</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Ralphs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Heritage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230,163</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Ralphs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Daiso, Mitsuwa Marketplace, Total Woman</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Laguna Niguel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1985</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41,943</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Marina Shores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67,727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Whole Foods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Morningside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91,212</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Stater Bros.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Newland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149,140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Plaza Hermosa</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1984</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94,777</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Von's Food &amp; Drug</w:t>
            </w:r>
          </w:p>
        </w:tc>
        <w:tc>
          <w:tcPr>
            <w:tcW w:w="4340" w:type="dxa"/>
            <w:vAlign w:val="bottom"/>
          </w:tcPr>
          <w:p>
            <w:pPr>
              <w:ind w:left="40"/>
              <w:spacing w:after="0"/>
              <w:rPr>
                <w:sz w:val="20"/>
                <w:szCs w:val="20"/>
                <w:color w:val="auto"/>
              </w:rPr>
            </w:pPr>
            <w:r>
              <w:rPr>
                <w:rFonts w:ascii="Arial" w:cs="Arial" w:eastAsia="Arial" w:hAnsi="Arial"/>
                <w:sz w:val="13"/>
                <w:szCs w:val="13"/>
                <w:color w:val="auto"/>
              </w:rPr>
              <w:t>Sav-On Drugs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Rona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51,760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Superior Super Warehouse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Seal Beach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1966</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96,858</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Von's Food &amp; Drug</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South Bay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107,706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Orchard Supply Hardware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Homegoods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Twin Oaks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1978</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98,399</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Ralphs</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Valencia Crossroads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172,856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Whole Foods, Kohl's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Vine at Castaic</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27,314</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Westridge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92,287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Beverages &amp; More!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Woodman Van Nuys</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1992</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107,614</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El Super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Silverado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84,916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Nob Hill</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Longs Drug</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Gelson's Westlake Market Plaza</w:t>
            </w:r>
          </w:p>
        </w:tc>
        <w:tc>
          <w:tcPr>
            <w:tcW w:w="700" w:type="dxa"/>
            <w:vAlign w:val="bottom"/>
          </w:tcPr>
          <w:p>
            <w:pPr>
              <w:jc w:val="right"/>
              <w:spacing w:after="0"/>
              <w:rPr>
                <w:sz w:val="20"/>
                <w:szCs w:val="20"/>
                <w:color w:val="auto"/>
              </w:rPr>
            </w:pPr>
            <w:r>
              <w:rPr>
                <w:rFonts w:ascii="Arial" w:cs="Arial" w:eastAsia="Arial" w:hAnsi="Arial"/>
                <w:sz w:val="13"/>
                <w:szCs w:val="13"/>
                <w:color w:val="auto"/>
              </w:rPr>
              <w:t>2002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2002</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84,975</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Gelson's Markets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Oakbrook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83,286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(Longs Drug)</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Ventura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1984</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76,070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Von's Food &amp; Drug</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Westlake Village Plaza and Center</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1975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190,529</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90.2%</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Von's Food &amp; Drug and</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(CVS), Longs Drug, Total Woman</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Sprouts</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Falcon Ridge Town Center Phase I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232,754</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Stater Bros., (Target)</w:t>
            </w:r>
          </w:p>
        </w:tc>
        <w:tc>
          <w:tcPr>
            <w:tcW w:w="4340" w:type="dxa"/>
            <w:vAlign w:val="bottom"/>
          </w:tcPr>
          <w:p>
            <w:pPr>
              <w:ind w:left="40"/>
              <w:spacing w:after="0"/>
              <w:rPr>
                <w:sz w:val="20"/>
                <w:szCs w:val="20"/>
                <w:color w:val="auto"/>
              </w:rPr>
            </w:pPr>
            <w:r>
              <w:rPr>
                <w:rFonts w:ascii="Arial" w:cs="Arial" w:eastAsia="Arial" w:hAnsi="Arial"/>
                <w:sz w:val="13"/>
                <w:szCs w:val="13"/>
                <w:color w:val="auto"/>
              </w:rPr>
              <w:t>Sports Authority, Ross Dress for Less, Michaels, Party City</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Falcon Ridge Town Center Phase II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66,864</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24 Hour Fitness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French Valley Village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2004</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98,752</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Stater Bros.</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Indio Towne Center</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179,505</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85.6%</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(Home Depot), (WinCo),</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CVS, 24 Hour Fitness, PETCO, Party City</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Toys R Us</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Jefferson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38,013</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Fresh &amp; Easy</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4S Commons Town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240,060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Ralphs, Jimbo's...Naturally!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Cost Plus World Market, CVS, Griffin Ace Hardware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Balboa Mesa Shopping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1974</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189,321</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Von's Food &amp; Drug, Kohl's</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Costa Verde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178,623</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Bristol Farms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Bookstar, The Boxing Club</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El Norte Pkwy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1984</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90,549</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Von's Food &amp; Drug</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Friars Mission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146,897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Ralphs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Longs Drug</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9"/>
              </w:rPr>
              <w:t>Gross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Leasable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Area</w:t>
            </w:r>
          </w:p>
        </w:tc>
        <w:tc>
          <w:tcPr>
            <w:tcW w:w="6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 xml:space="preserve">Leased </w:t>
            </w:r>
            <w:r>
              <w:rPr>
                <w:rFonts w:ascii="Arial" w:cs="Arial" w:eastAsia="Arial" w:hAnsi="Arial"/>
                <w:sz w:val="8"/>
                <w:szCs w:val="8"/>
                <w:b w:val="1"/>
                <w:bCs w:val="1"/>
                <w:color w:val="auto"/>
                <w:w w:val="89"/>
              </w:rPr>
              <w:t>(3)</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Navajo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1964</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102,139</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 O'Reilly Auto Parts</w:t>
            </w:r>
          </w:p>
        </w:tc>
      </w:tr>
      <w:tr>
        <w:trPr>
          <w:trHeight w:val="84"/>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Point Loma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212,415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Von's Food &amp; Drug</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Sport Chalet 5, 24 Hour Fitness, Jo-Ann Fabrics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Rancho San Diego Village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1981</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153,256</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Von's Food &amp; Drug</w:t>
            </w:r>
          </w:p>
        </w:tc>
        <w:tc>
          <w:tcPr>
            <w:tcW w:w="4340" w:type="dxa"/>
            <w:vAlign w:val="bottom"/>
          </w:tcPr>
          <w:p>
            <w:pPr>
              <w:ind w:left="40"/>
              <w:spacing w:after="0"/>
              <w:rPr>
                <w:sz w:val="20"/>
                <w:szCs w:val="20"/>
                <w:color w:val="auto"/>
              </w:rPr>
            </w:pPr>
            <w:r>
              <w:rPr>
                <w:rFonts w:ascii="Arial" w:cs="Arial" w:eastAsia="Arial" w:hAnsi="Arial"/>
                <w:sz w:val="13"/>
                <w:szCs w:val="13"/>
                <w:color w:val="auto"/>
              </w:rPr>
              <w:t>(Longs Drug), 24 Hour Fitness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Twin Peaks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198,139</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Albertsons, 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Uptown District</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148,638</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Ralphs, 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Vista Village IV</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 xml:space="preserve">Vista Village Phase I </w:t>
            </w:r>
            <w:r>
              <w:rPr>
                <w:rFonts w:ascii="Arial" w:cs="Arial" w:eastAsia="Arial" w:hAnsi="Arial"/>
                <w:sz w:val="8"/>
                <w:szCs w:val="8"/>
                <w:color w:val="auto"/>
              </w:rPr>
              <w:t>(5)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2002</w:t>
            </w:r>
          </w:p>
        </w:tc>
        <w:tc>
          <w:tcPr>
            <w:tcW w:w="1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2003</w:t>
            </w:r>
          </w:p>
        </w:tc>
        <w:tc>
          <w:tcPr>
            <w:tcW w:w="12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129,009</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96.7%</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Krikorian Theaters,</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(Lowe's)</w:t>
            </w:r>
          </w:p>
        </w:tc>
        <w:tc>
          <w:tcPr>
            <w:tcW w:w="4340" w:type="dxa"/>
            <w:vAlign w:val="bottom"/>
          </w:tcPr>
          <w:p>
            <w:pPr>
              <w:spacing w:after="0"/>
              <w:rPr>
                <w:sz w:val="14"/>
                <w:szCs w:val="14"/>
                <w:color w:val="auto"/>
              </w:rPr>
            </w:pPr>
          </w:p>
        </w:tc>
      </w:tr>
      <w:tr>
        <w:trPr>
          <w:trHeight w:val="181"/>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Vista Village Phase II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Frazier Farms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San Francisco / Northern CA</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Auburn Village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133,944</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Bel Air Market</w:t>
            </w:r>
          </w:p>
        </w:tc>
        <w:tc>
          <w:tcPr>
            <w:tcW w:w="4340" w:type="dxa"/>
            <w:vAlign w:val="bottom"/>
          </w:tcPr>
          <w:p>
            <w:pPr>
              <w:ind w:left="40"/>
              <w:spacing w:after="0"/>
              <w:rPr>
                <w:sz w:val="20"/>
                <w:szCs w:val="20"/>
                <w:color w:val="auto"/>
              </w:rPr>
            </w:pPr>
            <w:r>
              <w:rPr>
                <w:rFonts w:ascii="Arial" w:cs="Arial" w:eastAsia="Arial" w:hAnsi="Arial"/>
                <w:sz w:val="13"/>
                <w:szCs w:val="13"/>
                <w:color w:val="auto"/>
              </w:rPr>
              <w:t>Dollar Tree, Goodwill Industries, (CVS)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Bayhill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121,846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Mollie Stone's Market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Clayton Valley Shopping Center</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2003</w:t>
            </w:r>
          </w:p>
        </w:tc>
        <w:tc>
          <w:tcPr>
            <w:tcW w:w="1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260,205</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92.9%</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Fresh &amp; Easy, Orchard</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Longs Drugs, Dollar Tree, Ross Dress For Less</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Supply Hardware</w:t>
            </w:r>
          </w:p>
        </w:tc>
        <w:tc>
          <w:tcPr>
            <w:tcW w:w="4340" w:type="dxa"/>
            <w:vAlign w:val="bottom"/>
          </w:tcPr>
          <w:p>
            <w:pPr>
              <w:spacing w:after="0"/>
              <w:rPr>
                <w:sz w:val="14"/>
                <w:szCs w:val="14"/>
                <w:color w:val="auto"/>
              </w:rPr>
            </w:pPr>
          </w:p>
        </w:tc>
      </w:tr>
      <w:tr>
        <w:trPr>
          <w:trHeight w:val="181"/>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Diablo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63,265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Beverages &amp; More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El Cerrito Plaza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256,035</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98.9%</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(Lucky's), Trader Joe's</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w w:val="89"/>
              </w:rPr>
              <w:t>(Longs Drug), Bed Bath &amp; Beyond, Barnes &amp; Noble, Jo-Ann Fabrics, PETCO, Ross</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ind w:left="40"/>
              <w:spacing w:after="0"/>
              <w:rPr>
                <w:sz w:val="20"/>
                <w:szCs w:val="20"/>
                <w:color w:val="auto"/>
              </w:rPr>
            </w:pPr>
            <w:r>
              <w:rPr>
                <w:rFonts w:ascii="Arial" w:cs="Arial" w:eastAsia="Arial" w:hAnsi="Arial"/>
                <w:sz w:val="13"/>
                <w:szCs w:val="13"/>
                <w:color w:val="auto"/>
              </w:rPr>
              <w:t>Dress For Less</w:t>
            </w:r>
          </w:p>
        </w:tc>
      </w:tr>
      <w:tr>
        <w:trPr>
          <w:trHeight w:val="181"/>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Encina Grande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102,413</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Folsom Prairie City Crossing</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90,237</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Gateway 101</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92,110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(Home Depot), (Best Buy),</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r>
      <w:tr>
        <w:trPr>
          <w:trHeight w:val="135"/>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Sports Authority,</w:t>
            </w:r>
          </w:p>
        </w:tc>
        <w:tc>
          <w:tcPr>
            <w:tcW w:w="4340" w:type="dxa"/>
            <w:vAlign w:val="bottom"/>
            <w:shd w:val="clear" w:color="auto" w:fill="CCEEFF"/>
          </w:tcPr>
          <w:p>
            <w:pPr>
              <w:spacing w:after="0"/>
              <w:rPr>
                <w:sz w:val="11"/>
                <w:szCs w:val="11"/>
                <w:color w:val="auto"/>
              </w:rPr>
            </w:pP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Nordstrom Rack</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Oak Shade Town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103,762</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Office Max, Rite Aid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Pleasant Hill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227,681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Target, Toys "R" Us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 Ross Dress for Less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Powell Street Plaza</w:t>
            </w:r>
          </w:p>
        </w:tc>
        <w:tc>
          <w:tcPr>
            <w:tcW w:w="700" w:type="dxa"/>
            <w:vAlign w:val="bottom"/>
          </w:tcPr>
          <w:p>
            <w:pPr>
              <w:jc w:val="right"/>
              <w:spacing w:after="0"/>
              <w:rPr>
                <w:sz w:val="20"/>
                <w:szCs w:val="20"/>
                <w:color w:val="auto"/>
              </w:rPr>
            </w:pPr>
            <w:r>
              <w:rPr>
                <w:rFonts w:ascii="Arial" w:cs="Arial" w:eastAsia="Arial" w:hAnsi="Arial"/>
                <w:sz w:val="13"/>
                <w:szCs w:val="13"/>
                <w:color w:val="auto"/>
              </w:rPr>
              <w:t>2001</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1987</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165,928</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w w:val="90"/>
              </w:rPr>
              <w:t>PETCO, Beverages &amp; More!, Ross Dress For Less, DB Shoe Company, Marshalls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Raley's Supermarket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62,827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Raley's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San Leandro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1982</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50,432</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(Longs Drug)</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Sequoia Station</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103,148</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Longs Drug, Barnes &amp; Noble, Old Navy, Pier 1</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Strawflower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1985</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78,827</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(Longs Drug)</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Tassajara Crossing</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146,140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Longs Drug, Tassajara Valley Hardware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Woodside Central</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1993</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80,591</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(Target)</w:t>
            </w:r>
          </w:p>
        </w:tc>
        <w:tc>
          <w:tcPr>
            <w:tcW w:w="4340" w:type="dxa"/>
            <w:vAlign w:val="bottom"/>
          </w:tcPr>
          <w:p>
            <w:pPr>
              <w:ind w:left="40"/>
              <w:spacing w:after="0"/>
              <w:rPr>
                <w:sz w:val="20"/>
                <w:szCs w:val="20"/>
                <w:color w:val="auto"/>
              </w:rPr>
            </w:pPr>
            <w:r>
              <w:rPr>
                <w:rFonts w:ascii="Arial" w:cs="Arial" w:eastAsia="Arial" w:hAnsi="Arial"/>
                <w:sz w:val="13"/>
                <w:szCs w:val="13"/>
                <w:color w:val="auto"/>
              </w:rPr>
              <w:t>Chuck E. Cheese, Marshalls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Ygnacio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109,701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Fresh &amp; Easy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Sports Basement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Blossom Valley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93,316</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Loehmanns Plaza California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113,310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Longs Drug, Loehmann's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Mariposa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1957</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126,658</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Longs Drug, Ross Dress for Less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Snell &amp; Branham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92,352</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West Park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88,104</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Golden Hills Promenade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241,846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Lowe's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TJ Maxx</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Five Points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1960</w:t>
            </w:r>
          </w:p>
        </w:tc>
        <w:tc>
          <w:tcPr>
            <w:tcW w:w="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144,553</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tcPr>
          <w:p>
            <w:pPr>
              <w:ind w:left="40"/>
              <w:spacing w:after="0"/>
              <w:rPr>
                <w:sz w:val="20"/>
                <w:szCs w:val="20"/>
                <w:color w:val="auto"/>
              </w:rPr>
            </w:pPr>
            <w:r>
              <w:rPr>
                <w:rFonts w:ascii="Arial" w:cs="Arial" w:eastAsia="Arial" w:hAnsi="Arial"/>
                <w:sz w:val="13"/>
                <w:szCs w:val="13"/>
                <w:color w:val="auto"/>
              </w:rPr>
              <w:t>Longs Drug, Ross Dress for Less, Big 5 Sporting Goods, PETCO</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 xml:space="preserve">East Washington Place </w:t>
            </w:r>
            <w:r>
              <w:rPr>
                <w:rFonts w:ascii="Arial" w:cs="Arial" w:eastAsia="Arial" w:hAnsi="Arial"/>
                <w:sz w:val="8"/>
                <w:szCs w:val="8"/>
                <w:color w:val="auto"/>
              </w:rPr>
              <w:t>(4)</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203,155</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81.8%</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(Target), Dick's Sporting</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Goods, TJ Maxx</w:t>
            </w:r>
          </w:p>
        </w:tc>
        <w:tc>
          <w:tcPr>
            <w:tcW w:w="4340" w:type="dxa"/>
            <w:vAlign w:val="bottom"/>
            <w:shd w:val="clear" w:color="auto" w:fill="CCEEFF"/>
          </w:tcPr>
          <w:p>
            <w:pPr>
              <w:spacing w:after="0"/>
              <w:rPr>
                <w:sz w:val="15"/>
                <w:szCs w:val="15"/>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 xml:space="preserve">Corral Hollow </w:t>
            </w:r>
            <w:r>
              <w:rPr>
                <w:rFonts w:ascii="Arial" w:cs="Arial" w:eastAsia="Arial" w:hAnsi="Arial"/>
                <w:sz w:val="8"/>
                <w:szCs w:val="8"/>
                <w:color w:val="auto"/>
              </w:rPr>
              <w:t>(5)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167,184</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98.3%</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Safeway, Orchard Supply</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Longs Drug</w:t>
            </w:r>
          </w:p>
        </w:tc>
      </w:tr>
      <w:tr>
        <w:trPr>
          <w:trHeight w:val="160"/>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&amp; Hardware</w:t>
            </w:r>
          </w:p>
        </w:tc>
        <w:tc>
          <w:tcPr>
            <w:tcW w:w="4340" w:type="dxa"/>
            <w:vAlign w:val="bottom"/>
          </w:tcPr>
          <w:p>
            <w:pPr>
              <w:spacing w:after="0"/>
              <w:rPr>
                <w:sz w:val="13"/>
                <w:szCs w:val="13"/>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2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(GLA)</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 xml:space="preserve">Tenant(s) &gt;40,000 Sq Ft </w:t>
            </w:r>
            <w:r>
              <w:rPr>
                <w:rFonts w:ascii="Arial" w:cs="Arial" w:eastAsia="Arial" w:hAnsi="Arial"/>
                <w:sz w:val="8"/>
                <w:szCs w:val="8"/>
                <w:b w:val="1"/>
                <w:bCs w:val="1"/>
                <w:color w:val="auto"/>
                <w:w w:val="95"/>
              </w:rPr>
              <w:t>(6)</w:t>
            </w:r>
          </w:p>
        </w:tc>
        <w:tc>
          <w:tcPr>
            <w:tcW w:w="4340" w:type="dxa"/>
            <w:vAlign w:val="bottom"/>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c>
          <w:tcPr>
            <w:tcW w:w="0" w:type="dxa"/>
            <w:vAlign w:val="bottom"/>
          </w:tcPr>
          <w:p>
            <w:pPr>
              <w:spacing w:after="0"/>
              <w:rPr>
                <w:sz w:val="1"/>
                <w:szCs w:val="1"/>
                <w:color w:val="auto"/>
              </w:rPr>
            </w:pPr>
          </w:p>
        </w:tc>
      </w:tr>
      <w:tr>
        <w:trPr>
          <w:trHeight w:val="270"/>
        </w:trPr>
        <w:tc>
          <w:tcPr>
            <w:tcW w:w="2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3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(CA)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8,808,500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95.3%</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FLORIDA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Ft. Myers / Cape Coral</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Corkscrew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82,011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Grande Oak</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78,784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Jacksonville / North Florida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Anastasia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102,342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Canopy Oak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90,042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Carriage Gate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76,784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Leon County Tax Collector, TJ Maxx</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Courtyard Shopping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137,256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 Target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Fleming Island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136,663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 (Target)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Hibernia Pavilion</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51,298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Hibernia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Horton's Corner</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14,820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John's Creek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75,101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Julington Village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81,820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Lynnhaven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63,871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Millhopper Shopping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80,421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Newberry Square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180,524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 K-Mart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Jo-Ann Fabrics</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Nocatee Town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69,679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Oakleaf Commons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73,717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Ocala Corners</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86,772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Old St Augustine Plaza</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232,459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Publix, Burlington Coat</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Factory, Hobby Lobby</w:t>
            </w:r>
          </w:p>
        </w:tc>
        <w:tc>
          <w:tcPr>
            <w:tcW w:w="4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Pine Tree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63,387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Plantation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77,747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Seminole Shoppes</w:t>
            </w:r>
          </w:p>
        </w:tc>
        <w:tc>
          <w:tcPr>
            <w:tcW w:w="700" w:type="dxa"/>
            <w:vAlign w:val="bottom"/>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73,241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Shoppes at Bartram Park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119,958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 (Kohl's)</w:t>
            </w:r>
          </w:p>
        </w:tc>
        <w:tc>
          <w:tcPr>
            <w:tcW w:w="43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(Tutor Time)</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Shops at John's Creek</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15,490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Starke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12,739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Vineyard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62,821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Miami / Fort Lauderdale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Aventura Shopping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102,876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Berkshire Commons</w:t>
            </w:r>
          </w:p>
        </w:tc>
        <w:tc>
          <w:tcPr>
            <w:tcW w:w="70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110,062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Caligo Crossing</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10,763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(Kohl's)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Five Corners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44,647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2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Borders>
              <w:bottom w:val="single" w:sz="8" w:color="CCEEFF"/>
            </w:tcBorders>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Garden Square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90,258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Naples Walk Shopping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125,390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Pebblebrook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76,767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Shoppes @ 104</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108,192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Winn-Dixie</w:t>
            </w:r>
          </w:p>
        </w:tc>
        <w:tc>
          <w:tcPr>
            <w:tcW w:w="4340" w:type="dxa"/>
            <w:vAlign w:val="bottom"/>
          </w:tcPr>
          <w:p>
            <w:pPr>
              <w:ind w:left="40"/>
              <w:spacing w:after="0"/>
              <w:rPr>
                <w:sz w:val="20"/>
                <w:szCs w:val="20"/>
                <w:color w:val="auto"/>
              </w:rPr>
            </w:pPr>
            <w:r>
              <w:rPr>
                <w:rFonts w:ascii="Arial" w:cs="Arial" w:eastAsia="Arial" w:hAnsi="Arial"/>
                <w:sz w:val="13"/>
                <w:szCs w:val="13"/>
                <w:color w:val="auto"/>
              </w:rPr>
              <w:t>Navarro Discount Pharmacies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Welleby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109,949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Bealls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Tampa / Orlando</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Bloomingdale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267,736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 Wal-Mart, Bealls</w:t>
            </w:r>
          </w:p>
        </w:tc>
        <w:tc>
          <w:tcPr>
            <w:tcW w:w="4340" w:type="dxa"/>
            <w:vAlign w:val="bottom"/>
          </w:tcPr>
          <w:p>
            <w:pPr>
              <w:ind w:left="60"/>
              <w:spacing w:after="0"/>
              <w:rPr>
                <w:sz w:val="20"/>
                <w:szCs w:val="20"/>
                <w:color w:val="auto"/>
              </w:rPr>
            </w:pPr>
            <w:r>
              <w:rPr>
                <w:rFonts w:ascii="Arial" w:cs="Arial" w:eastAsia="Arial" w:hAnsi="Arial"/>
                <w:sz w:val="13"/>
                <w:szCs w:val="13"/>
                <w:color w:val="auto"/>
              </w:rPr>
              <w:t>Ace Hardware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 Towne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69,841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Kings Crossing Sun City</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75,020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Marketplace Shopping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90,296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 Fitness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Northgate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75,495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Regency Square</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349,848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AMC Theater, Michaels,</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Dollar Tree, Marshalls, Shoe Carnival, Staples, TJ Maxx, PETCO, Ulta</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(Best Buy), (Macdill)</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Suncoast Crossing Phase I</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108,434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Kohl's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Suncoast Crossing Phase II</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9,451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Town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44,380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PETCO, Pier 1 Imports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Village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181,110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 Stein Mart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Westchase</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78,998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Willa Springs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89,930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West Palm Beach / Treasure Cove</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Boynton Lakes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111,625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Citi Trends, Pet Supermarket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Chasewood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157,403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Bealls, Books-A-Million</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Island Crossing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58,456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Wellington Town Square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107,325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(FL)</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4,802,399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93.1%</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VIRGINIA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Richmond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Gayton Crossing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156,917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Martin's, (Kroger)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Hanover Village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88,006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Tractor Supply Company, Floor Trader</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Village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111,177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Martin's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Other Virginia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Ashburn Farm Market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91,905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Ashburn Farm Village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88,897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Braemar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96,439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2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Borders>
              <w:bottom w:val="single" w:sz="8" w:color="CCEEFF"/>
            </w:tcBorders>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Centre Ridge Marketplace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104,100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Sears</w:t>
            </w: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Cheshire Station</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97,156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Culpeper Colonnade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131,707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Martin's, (Target)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PetSmart, Staples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Fairfax Shopping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75,711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Direct Furniture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Festival at Manchester Lakes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165,130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 xml:space="preserve">Fortuna Center Plaza </w:t>
            </w:r>
            <w:r>
              <w:rPr>
                <w:rFonts w:ascii="Arial" w:cs="Arial" w:eastAsia="Arial" w:hAnsi="Arial"/>
                <w:sz w:val="8"/>
                <w:szCs w:val="8"/>
                <w:color w:val="auto"/>
              </w:rPr>
              <w:t>(5)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104,694</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Shoppers Food Warehouse,</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Rite Aid</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(Target)</w:t>
            </w:r>
          </w:p>
        </w:tc>
        <w:tc>
          <w:tcPr>
            <w:tcW w:w="4340" w:type="dxa"/>
            <w:vAlign w:val="bottom"/>
          </w:tcPr>
          <w:p>
            <w:pPr>
              <w:spacing w:after="0"/>
              <w:rPr>
                <w:sz w:val="14"/>
                <w:szCs w:val="14"/>
                <w:color w:val="auto"/>
              </w:rPr>
            </w:pPr>
          </w:p>
        </w:tc>
      </w:tr>
      <w:tr>
        <w:trPr>
          <w:trHeight w:val="181"/>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Fox Mill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103,269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Greenbriar Town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339,939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tcPr>
          <w:p>
            <w:pPr>
              <w:ind w:left="40"/>
              <w:spacing w:after="0"/>
              <w:rPr>
                <w:sz w:val="20"/>
                <w:szCs w:val="20"/>
                <w:color w:val="auto"/>
              </w:rPr>
            </w:pPr>
            <w:r>
              <w:rPr>
                <w:rFonts w:ascii="Arial" w:cs="Arial" w:eastAsia="Arial" w:hAnsi="Arial"/>
                <w:sz w:val="13"/>
                <w:szCs w:val="13"/>
                <w:color w:val="auto"/>
                <w:w w:val="92"/>
              </w:rPr>
              <w:t>CVS, HMY Roomstore, Total Beverage, Ross Dress for Less, Marshalls, PETCO</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Hollymead Town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153,739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Harris Teeter, (Target)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Petsmart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Kamp Washington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71,924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Golfsmith</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Kings Park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74,496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Lorton Station Marketplace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132,445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tcPr>
          <w:p>
            <w:pPr>
              <w:ind w:left="40"/>
              <w:spacing w:after="0"/>
              <w:rPr>
                <w:sz w:val="20"/>
                <w:szCs w:val="20"/>
                <w:color w:val="auto"/>
              </w:rPr>
            </w:pPr>
            <w:r>
              <w:rPr>
                <w:rFonts w:ascii="Arial" w:cs="Arial" w:eastAsia="Arial" w:hAnsi="Arial"/>
                <w:sz w:val="13"/>
                <w:szCs w:val="13"/>
                <w:color w:val="auto"/>
              </w:rPr>
              <w:t>Advanced Design Group</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Lorton Town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51,807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ReMax</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Market at Opitz Crossing</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149,791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Hibachi Grill &amp; Supreme Buffet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Saratoga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113,013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Shops at County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96,695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92.6%</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Harris Teeter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Shops at Stonewall</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307,845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Wegmans, Dick's Sporting</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Staples, Ross Dress For Less, Bed Bath &amp; Beyond, Michaels</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Goods</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Signal Hill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95,172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 xml:space="preserve">Town Center at Sterling Shopping Center </w:t>
            </w:r>
            <w:r>
              <w:rPr>
                <w:rFonts w:ascii="Arial" w:cs="Arial" w:eastAsia="Arial" w:hAnsi="Arial"/>
                <w:sz w:val="8"/>
                <w:szCs w:val="8"/>
                <w:color w:val="auto"/>
                <w:w w:val="93"/>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186,531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Direct Furniture, Party Depot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Tysons Corner CVS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12,900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 xml:space="preserve">Village Center at Dulles </w:t>
            </w:r>
            <w:r>
              <w:rPr>
                <w:rFonts w:ascii="Arial" w:cs="Arial" w:eastAsia="Arial" w:hAnsi="Arial"/>
                <w:sz w:val="8"/>
                <w:szCs w:val="8"/>
                <w:color w:val="auto"/>
              </w:rPr>
              <w:t>(5)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297,572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Shoppers Food Warehouse,</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0"/>
              </w:rPr>
              <w:t>CVS, Advance Auto Parts, Chuck E. Cheese, Staples, Goodwill, Tuesday Morning</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Gold's Gym</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Willston Centre I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105,376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CVS, Baileys Health Care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Willston Centre II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135,862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 (Target)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(VA)</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3,740,215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95.7%</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TEXAS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Austin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Hancock</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410,438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H.E.B., Sears</w:t>
            </w:r>
          </w:p>
        </w:tc>
        <w:tc>
          <w:tcPr>
            <w:tcW w:w="4340" w:type="dxa"/>
            <w:vAlign w:val="bottom"/>
          </w:tcPr>
          <w:p>
            <w:pPr>
              <w:ind w:left="40"/>
              <w:spacing w:after="0"/>
              <w:rPr>
                <w:sz w:val="20"/>
                <w:szCs w:val="20"/>
                <w:color w:val="auto"/>
              </w:rPr>
            </w:pPr>
            <w:r>
              <w:rPr>
                <w:rFonts w:ascii="Arial" w:cs="Arial" w:eastAsia="Arial" w:hAnsi="Arial"/>
                <w:sz w:val="13"/>
                <w:szCs w:val="13"/>
                <w:color w:val="auto"/>
              </w:rPr>
              <w:t>Twin Liquors, PETCO, 24 Hour Fitness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Market at Round Rock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122,646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Sprout's Markets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Office Depot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North Hills</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144,020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H.E.B.</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Tech Ridge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187,350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H.E.B.</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Office Depot, Petco</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Dallas / Fort Worth</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Bethany Park Place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98,906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Hickory Creek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28,134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Hillcrest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14,530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Keller Town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114,938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Tom Thumb</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2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Lebanon/Legacy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56,435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(Wal-Mart)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84"/>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Market at Preston Forest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96,353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Tom Thumb</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Mockingbird Common</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120,321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Tom Thumb</w:t>
            </w:r>
          </w:p>
        </w:tc>
        <w:tc>
          <w:tcPr>
            <w:tcW w:w="4340" w:type="dxa"/>
            <w:vAlign w:val="bottom"/>
          </w:tcPr>
          <w:p>
            <w:pPr>
              <w:ind w:left="40"/>
              <w:spacing w:after="0"/>
              <w:rPr>
                <w:sz w:val="20"/>
                <w:szCs w:val="20"/>
                <w:color w:val="auto"/>
              </w:rPr>
            </w:pPr>
            <w:r>
              <w:rPr>
                <w:rFonts w:ascii="Arial" w:cs="Arial" w:eastAsia="Arial" w:hAnsi="Arial"/>
                <w:sz w:val="13"/>
                <w:szCs w:val="13"/>
                <w:color w:val="auto"/>
              </w:rPr>
              <w:t>Ogle School of Hair Design</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Prestonbrook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91,537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Rockwall Town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46,095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Shiloh Springs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110,040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Signature Plaza</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32,415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Houston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Alden Bridge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138,953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Cochran's Crossing</w:t>
            </w:r>
          </w:p>
        </w:tc>
        <w:tc>
          <w:tcPr>
            <w:tcW w:w="700" w:type="dxa"/>
            <w:vAlign w:val="bottom"/>
          </w:tcPr>
          <w:p>
            <w:pPr>
              <w:jc w:val="right"/>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138,192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Indian Springs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136,625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H.E.B.</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Kleinwood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148,964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H.E.B.</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Panther Creek</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166,077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Randall's Food</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CVS, Sears Paint &amp; Hardware (Sublease Morelands), The Woodlands Childrens</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Museum</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Southpark at Cinco Ranch </w:t>
            </w:r>
            <w:r>
              <w:rPr>
                <w:rFonts w:ascii="Arial" w:cs="Arial" w:eastAsia="Arial" w:hAnsi="Arial"/>
                <w:sz w:val="8"/>
                <w:szCs w:val="8"/>
                <w:color w:val="auto"/>
              </w:rPr>
              <w:t>(4)</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242,687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 Academy</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Sterling Ridge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128,643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Sweetwater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134,045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 xml:space="preserve">Weslayan Plaza East </w:t>
            </w:r>
            <w:r>
              <w:rPr>
                <w:rFonts w:ascii="Arial" w:cs="Arial" w:eastAsia="Arial" w:hAnsi="Arial"/>
                <w:sz w:val="8"/>
                <w:szCs w:val="8"/>
                <w:color w:val="auto"/>
              </w:rPr>
              <w:t>(5)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169,693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88"/>
              </w:rPr>
              <w:t>Berings, Ross Dress for Less, Michaels, Berings Warehouse, Chuck E. Cheese, The</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Next Level Fitness, Spec's Liquor, Bike Barn</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Weslayan Plaza West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185,964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Randall's Food</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 PETCO, Jo Ann's, Office Max, Tuesday Morning</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Westwood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183,547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Gold's Gym, PetSmart, Office Max, Ross Dress For Less, TJ Maxx</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Woodway Collection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103,796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Randall's Food</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(TX)</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3,551,344</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95.4%</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COLORADO</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Colorado Springs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Falcon Marketplace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22,491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(Wal-Mart Supercenter)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Marketplace at Briargate</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29,075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Monument Jackson Creek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85,263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Woodmen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116,233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Denver</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Applewood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381,041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 Wal-Mart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Applejack Liquors, PetSmart, Wells Fargo Bank</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Arapahoe Village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159,237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Jo-Ann Fabrics, PETCO, Pier 1 Imports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Belleview Square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117,331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Boulevard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80,320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One Hour Optical</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Buckley Square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116,147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Ace Hardware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Cherrywood Square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96,667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Crossroads Commons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142,589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Whole Foods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 Bicycle Village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2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Hilltop Village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100,030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84"/>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Kent Place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48,168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Littleton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94,222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Lloyd King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83,326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Ralston Square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82,750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Shops at Quail Creek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37,585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South Lowry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119,916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Stroh Ranch</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93,436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Soopers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Centerplace of Greeley III</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119,090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Sports Authority</w:t>
            </w:r>
          </w:p>
        </w:tc>
        <w:tc>
          <w:tcPr>
            <w:tcW w:w="4340" w:type="dxa"/>
            <w:vAlign w:val="bottom"/>
          </w:tcPr>
          <w:p>
            <w:pPr>
              <w:ind w:left="40"/>
              <w:spacing w:after="0"/>
              <w:rPr>
                <w:sz w:val="20"/>
                <w:szCs w:val="20"/>
                <w:color w:val="auto"/>
              </w:rPr>
            </w:pPr>
            <w:r>
              <w:rPr>
                <w:rFonts w:ascii="Arial" w:cs="Arial" w:eastAsia="Arial" w:hAnsi="Arial"/>
                <w:sz w:val="13"/>
                <w:szCs w:val="13"/>
                <w:color w:val="auto"/>
              </w:rPr>
              <w:t>Best Buy, TJ Maxx</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(CO)</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2,124,917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93.7%</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NORTH CAROLINA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Charlotte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Carmel Commons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132,651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Fresh Market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Chuck E. Cheese, Party City, Rite Aid, Planet Fitness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Cochran Commons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66,020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Harris Teeter</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Phillips Place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133,059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Dean &amp; Deluca</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Phillips Place Theater, Dean &amp; Deluca</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Providence Commons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77,315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Harris Teeter</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Greensboro</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Harris Crossing</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65,150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Harris Teeter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Raleigh / Durham</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Erwin Square </w:t>
            </w:r>
            <w:r>
              <w:rPr>
                <w:rFonts w:ascii="Arial" w:cs="Arial" w:eastAsia="Arial" w:hAnsi="Arial"/>
                <w:sz w:val="8"/>
                <w:szCs w:val="8"/>
                <w:color w:val="auto"/>
              </w:rPr>
              <w:t>(4)</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89,830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Harris Teeter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Southpoint Crossing</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103,128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Woodcroft Shopping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89,833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Food Lion</w:t>
            </w:r>
          </w:p>
        </w:tc>
        <w:tc>
          <w:tcPr>
            <w:tcW w:w="4340" w:type="dxa"/>
            <w:vAlign w:val="bottom"/>
          </w:tcPr>
          <w:p>
            <w:pPr>
              <w:ind w:left="40"/>
              <w:spacing w:after="0"/>
              <w:rPr>
                <w:sz w:val="20"/>
                <w:szCs w:val="20"/>
                <w:color w:val="auto"/>
              </w:rPr>
            </w:pPr>
            <w:r>
              <w:rPr>
                <w:rFonts w:ascii="Arial" w:cs="Arial" w:eastAsia="Arial" w:hAnsi="Arial"/>
                <w:sz w:val="13"/>
                <w:szCs w:val="13"/>
                <w:color w:val="auto"/>
              </w:rPr>
              <w:t>Triangle True Value Hardware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 xml:space="preserve">Cameron Village </w:t>
            </w:r>
            <w:r>
              <w:rPr>
                <w:rFonts w:ascii="Arial" w:cs="Arial" w:eastAsia="Arial" w:hAnsi="Arial"/>
                <w:sz w:val="8"/>
                <w:szCs w:val="8"/>
                <w:color w:val="auto"/>
              </w:rPr>
              <w:t>(5)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1949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552,541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Harris Teeter, Fresh Market</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Eckerd, Talbots, Wake County Public Library, Great Outdoor Provision Co., York</w:t>
            </w:r>
          </w:p>
        </w:tc>
      </w:tr>
      <w:tr>
        <w:trPr>
          <w:trHeight w:val="135"/>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3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8"/>
              </w:rPr>
              <w:t>Properties, The Bargain Box, K&amp;W Cafeteria, Johnson-Lambe Sporting Goods, Pier</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1 Imports, Bevello, The Cheshire Cat Gallery</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Colonnade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57,637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Whole Foods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Glenwood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42,864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Harris Teeter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Lake Pine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87,690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Maynard Crossing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122,782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Middle Creek Commons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73,634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Lowes Foods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Shoppes of Kildaire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145,101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Home Comfort Furniture, Fitness Connection, Staples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Sutton Square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101,025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Fresh Market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Village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78,182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Whole Foods</w:t>
            </w:r>
          </w:p>
        </w:tc>
        <w:tc>
          <w:tcPr>
            <w:tcW w:w="4340" w:type="dxa"/>
            <w:vAlign w:val="bottom"/>
          </w:tcPr>
          <w:p>
            <w:pPr>
              <w:ind w:left="40"/>
              <w:spacing w:after="0"/>
              <w:rPr>
                <w:sz w:val="20"/>
                <w:szCs w:val="20"/>
                <w:color w:val="auto"/>
              </w:rPr>
            </w:pPr>
            <w:r>
              <w:rPr>
                <w:rFonts w:ascii="Arial" w:cs="Arial" w:eastAsia="Arial" w:hAnsi="Arial"/>
                <w:sz w:val="13"/>
                <w:szCs w:val="13"/>
                <w:color w:val="auto"/>
              </w:rPr>
              <w:t>PTA Thrift Shop</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(NC)</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2,018,442</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94.7%</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(GLA)</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 xml:space="preserve">Tenant(s) &gt;40,000 Sq Ft </w:t>
            </w:r>
            <w:r>
              <w:rPr>
                <w:rFonts w:ascii="Arial" w:cs="Arial" w:eastAsia="Arial" w:hAnsi="Arial"/>
                <w:sz w:val="8"/>
                <w:szCs w:val="8"/>
                <w:b w:val="1"/>
                <w:bCs w:val="1"/>
                <w:color w:val="auto"/>
                <w:w w:val="95"/>
              </w:rPr>
              <w:t>(6)</w:t>
            </w:r>
          </w:p>
        </w:tc>
        <w:tc>
          <w:tcPr>
            <w:tcW w:w="4340" w:type="dxa"/>
            <w:vAlign w:val="bottom"/>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270"/>
        </w:trPr>
        <w:tc>
          <w:tcPr>
            <w:tcW w:w="2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340" w:type="dxa"/>
            <w:vAlign w:val="bottom"/>
            <w:tcBorders>
              <w:top w:val="single" w:sz="8" w:color="auto"/>
            </w:tcBorders>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OHIO</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Cincinnati</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Beckett Commons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121,318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Cherry Grove</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195,513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Hancock Fabrics, Shoe Carnival, TJ Maxx</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Hyde Park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396,861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 Biggs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 Jo-Ann Fabrics, Ace Hardware, Michaels, Staples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 xml:space="preserve">Indian Springs Market Center </w:t>
            </w:r>
            <w:r>
              <w:rPr>
                <w:rFonts w:ascii="Arial" w:cs="Arial" w:eastAsia="Arial" w:hAnsi="Arial"/>
                <w:sz w:val="8"/>
                <w:szCs w:val="8"/>
                <w:color w:val="auto"/>
              </w:rPr>
              <w:t>(5)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2005</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2005</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141,063</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Kohl's, (Wal-Mart</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Office Depot, HH Gregg Appliances</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Supercenter)</w:t>
            </w:r>
          </w:p>
        </w:tc>
        <w:tc>
          <w:tcPr>
            <w:tcW w:w="4340" w:type="dxa"/>
            <w:vAlign w:val="bottom"/>
          </w:tcPr>
          <w:p>
            <w:pPr>
              <w:spacing w:after="0"/>
              <w:rPr>
                <w:sz w:val="14"/>
                <w:szCs w:val="14"/>
                <w:color w:val="auto"/>
              </w:rPr>
            </w:pPr>
          </w:p>
        </w:tc>
      </w:tr>
      <w:tr>
        <w:trPr>
          <w:trHeight w:val="181"/>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Red Bank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164,317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Wal-Mart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Regency Commons</w:t>
            </w:r>
          </w:p>
        </w:tc>
        <w:tc>
          <w:tcPr>
            <w:tcW w:w="70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30,770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 xml:space="preserve">Sycamore Crossing &amp; Sycamore Plaza </w:t>
            </w:r>
            <w:r>
              <w:rPr>
                <w:rFonts w:ascii="Arial" w:cs="Arial" w:eastAsia="Arial" w:hAnsi="Arial"/>
                <w:sz w:val="8"/>
                <w:szCs w:val="8"/>
                <w:color w:val="auto"/>
                <w:w w:val="99"/>
              </w:rPr>
              <w:t>(5)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390,957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86.6%</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Fresh Market, Macy's</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Barnes &amp; Noble, Old Navy, Staples, Identity Salon &amp; Day Spa</w:t>
            </w:r>
          </w:p>
        </w:tc>
      </w:tr>
      <w:tr>
        <w:trPr>
          <w:trHeight w:val="135"/>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Furniture Gallery, Toys 'R</w:t>
            </w:r>
          </w:p>
        </w:tc>
        <w:tc>
          <w:tcPr>
            <w:tcW w:w="4340" w:type="dxa"/>
            <w:vAlign w:val="bottom"/>
            <w:shd w:val="clear" w:color="auto" w:fill="CCEEFF"/>
          </w:tcPr>
          <w:p>
            <w:pPr>
              <w:spacing w:after="0"/>
              <w:rPr>
                <w:sz w:val="11"/>
                <w:szCs w:val="11"/>
                <w:color w:val="auto"/>
              </w:rPr>
            </w:pP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Us, Dick's Sporting Goods</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Westchester Plaza</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88,181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Columbus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 Pointe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86,503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Kroger New Albany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93,286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Maxtown Road (Northgate)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85,100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 (Home Depot)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Windmiller Plaza Phase I</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140,437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Sears Hardware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(OH)</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1,934,306</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95.2%</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ILLINOIS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Chicago</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Civic Center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264,973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Super H Mart, Home Depot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O'Reilly Automotive, King Spa</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Geneva Crossing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123,182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Dominick's</w:t>
            </w:r>
          </w:p>
        </w:tc>
        <w:tc>
          <w:tcPr>
            <w:tcW w:w="4340" w:type="dxa"/>
            <w:vAlign w:val="bottom"/>
          </w:tcPr>
          <w:p>
            <w:pPr>
              <w:ind w:left="40"/>
              <w:spacing w:after="0"/>
              <w:rPr>
                <w:sz w:val="20"/>
                <w:szCs w:val="20"/>
                <w:color w:val="auto"/>
              </w:rPr>
            </w:pPr>
            <w:r>
              <w:rPr>
                <w:rFonts w:ascii="Arial" w:cs="Arial" w:eastAsia="Arial" w:hAnsi="Arial"/>
                <w:sz w:val="13"/>
                <w:szCs w:val="13"/>
                <w:color w:val="auto"/>
              </w:rPr>
              <w:t>Goodwill</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Glen Oak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62,616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 ENH Medical Offices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Hinsdale</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178,960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3"/>
                <w:szCs w:val="13"/>
                <w:color w:val="auto"/>
              </w:rPr>
              <w:t>Dominick's</w:t>
            </w:r>
          </w:p>
        </w:tc>
        <w:tc>
          <w:tcPr>
            <w:tcW w:w="4340" w:type="dxa"/>
            <w:vAlign w:val="bottom"/>
          </w:tcPr>
          <w:p>
            <w:pPr>
              <w:ind w:left="40"/>
              <w:spacing w:after="0"/>
              <w:rPr>
                <w:sz w:val="20"/>
                <w:szCs w:val="20"/>
                <w:color w:val="auto"/>
              </w:rPr>
            </w:pPr>
            <w:r>
              <w:rPr>
                <w:rFonts w:ascii="Arial" w:cs="Arial" w:eastAsia="Arial" w:hAnsi="Arial"/>
                <w:sz w:val="13"/>
                <w:szCs w:val="13"/>
                <w:color w:val="auto"/>
              </w:rPr>
              <w:t>Goodwill, Cardinal Fitness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McHenry Commons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99,448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Hobby Lobby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Riverside Sq &amp; River's Edge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169,435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Dominick's</w:t>
            </w:r>
          </w:p>
        </w:tc>
        <w:tc>
          <w:tcPr>
            <w:tcW w:w="4340" w:type="dxa"/>
            <w:vAlign w:val="bottom"/>
          </w:tcPr>
          <w:p>
            <w:pPr>
              <w:ind w:left="40"/>
              <w:spacing w:after="0"/>
              <w:rPr>
                <w:sz w:val="20"/>
                <w:szCs w:val="20"/>
                <w:color w:val="auto"/>
              </w:rPr>
            </w:pPr>
            <w:r>
              <w:rPr>
                <w:rFonts w:ascii="Arial" w:cs="Arial" w:eastAsia="Arial" w:hAnsi="Arial"/>
                <w:sz w:val="13"/>
                <w:szCs w:val="13"/>
                <w:color w:val="auto"/>
              </w:rPr>
              <w:t>Ace Hardware, Party City</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Roscoe Square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140,426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Mariano's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 Toys "R" Us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Shorewood Crossing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87,705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Dominick's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Shorewood Crossing II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86,276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Babies R Us, Staples, PETCO, Factory Card Outlet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Stonebrook Plaza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95,825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Dominick's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Westbrook Commons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123,855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Dominick's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Willow Festival</w:t>
            </w:r>
          </w:p>
        </w:tc>
        <w:tc>
          <w:tcPr>
            <w:tcW w:w="70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382,837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Whole Foods, Lowe's</w:t>
            </w:r>
          </w:p>
        </w:tc>
        <w:tc>
          <w:tcPr>
            <w:tcW w:w="4340" w:type="dxa"/>
            <w:vAlign w:val="bottom"/>
          </w:tcPr>
          <w:p>
            <w:pPr>
              <w:ind w:left="40"/>
              <w:spacing w:after="0"/>
              <w:rPr>
                <w:sz w:val="20"/>
                <w:szCs w:val="20"/>
                <w:color w:val="auto"/>
              </w:rPr>
            </w:pPr>
            <w:r>
              <w:rPr>
                <w:rFonts w:ascii="Arial" w:cs="Arial" w:eastAsia="Arial" w:hAnsi="Arial"/>
                <w:sz w:val="13"/>
                <w:szCs w:val="13"/>
                <w:color w:val="auto"/>
              </w:rPr>
              <w:t>CVS, DSW Warehouse, HomeGoods, Recreational Equipment, Best Buy</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(IL)</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1,815,538</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97.2%</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2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MARYLAND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Baltimore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Elkridge Corners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73,529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Green Valley Markets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Festival at Woodholme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81,016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Parkville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161,735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Parkville Lanes, Castlewood Realty (Sub: Herit)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Southside Marketplace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125,146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Valley Centre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219,549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Ross Dress for Less, HomeGoods, Staples, PetSmart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Village at Lee Airpark</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87,557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Giant Food, (Sunrise)</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Maryland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Bowie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102,904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Fitness 4 Less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 xml:space="preserve">Clinton Park </w:t>
            </w:r>
            <w:r>
              <w:rPr>
                <w:rFonts w:ascii="Arial" w:cs="Arial" w:eastAsia="Arial" w:hAnsi="Arial"/>
                <w:sz w:val="8"/>
                <w:szCs w:val="8"/>
                <w:color w:val="auto"/>
              </w:rPr>
              <w:t>(5)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2003</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2003</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206,050</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96.3%</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G-Mart, Sears, (Toys "R"</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Fitness For Less</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Us)</w:t>
            </w:r>
          </w:p>
        </w:tc>
        <w:tc>
          <w:tcPr>
            <w:tcW w:w="4340" w:type="dxa"/>
            <w:vAlign w:val="bottom"/>
          </w:tcPr>
          <w:p>
            <w:pPr>
              <w:spacing w:after="0"/>
              <w:rPr>
                <w:sz w:val="14"/>
                <w:szCs w:val="14"/>
                <w:color w:val="auto"/>
              </w:rPr>
            </w:pPr>
          </w:p>
        </w:tc>
      </w:tr>
      <w:tr>
        <w:trPr>
          <w:trHeight w:val="181"/>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Cloppers Mill Village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137,035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Firstfield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22,328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Goshen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42,906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King Farm Village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118,326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Takoma Park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104,079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Shoppers Food Warehouse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Watkins Park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113,443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Woodmoor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68,887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(MD)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1,664,490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93.3%</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GEORGIA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Atlanta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Ashford Place</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53,449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Harbor Freight Tools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Briarcliff La Vista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39,204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Michaels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Briarcliff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189,551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Office Depot, Party City, Shoe Carnival, TJ Maxx</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Buckhead Court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48,317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Cambridge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71,429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Cornerstone Square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80,406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Aldi</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Hancock Fabrics, Concentra</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Delk Spectrum</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100,539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Eckerd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Dunwoody Hall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89,551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Eckerd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Dunwoody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120,169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Fresh Market</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 Dunwoody Prep</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Howell Mill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92,280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Eckerd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King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81,432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Loehmanns Plaza Georgia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137,139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Loehmann's, Office Max, Dance 101</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Lost Mountain Crossing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72,568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Paces Ferry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61,698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Harry Norman Realtors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Powers Ferry Square</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97,897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CVS, PETCO</w:t>
            </w:r>
          </w:p>
        </w:tc>
      </w:tr>
      <w:tr>
        <w:trPr>
          <w:trHeight w:val="84"/>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Powers Ferry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78,896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Mardi Gras, Brush Creek Package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Russell Ridge</w:t>
            </w:r>
          </w:p>
        </w:tc>
        <w:tc>
          <w:tcPr>
            <w:tcW w:w="70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98,559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Sandy Springs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116,094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Trader Joe's, Pier 1, Party City</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(GA)</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1,629,178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93.5%</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PENNSYLVANIA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Allentown / Bethlehem</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Allen Street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46,228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Ahart Market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Lower Nazareth Commons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90,210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(Target), Sports Authority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Stefko Boulevard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133,899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Valley Farm Market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Harrisburg</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Silver Spring Square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314,450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Wegmans, (Target)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Ross Dress For Less, Bed Bath and Beyond, Best Buy, Office Max, Ulta, PETCO</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Philadelphia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City Avenue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159,406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Ross Dress for Less, TJ Maxx, Sears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Gateway Shopping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214,213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Staples, TJ Maxx, Famous Footwear, Jo-Ann Fabrics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Kulpsville Village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14,820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Mercer Square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91,400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Wies Markets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Newtown Square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146,959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Acme Markets</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Warwick Square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89,680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Giant Food</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Other Pennsylvania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Hershey</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(PA)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1,307,265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96.8%</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WASHINGTON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Portland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Orchards Market Center I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100,663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Wholesale Sports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Jo-Ann Fabrics, PETCO, (Rite Aid)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Orchards Market Center II</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77,478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LA Fitness</w:t>
            </w:r>
          </w:p>
        </w:tc>
        <w:tc>
          <w:tcPr>
            <w:tcW w:w="4340" w:type="dxa"/>
            <w:vAlign w:val="bottom"/>
          </w:tcPr>
          <w:p>
            <w:pPr>
              <w:ind w:left="40"/>
              <w:spacing w:after="0"/>
              <w:rPr>
                <w:sz w:val="20"/>
                <w:szCs w:val="20"/>
                <w:color w:val="auto"/>
              </w:rPr>
            </w:pPr>
            <w:r>
              <w:rPr>
                <w:rFonts w:ascii="Arial" w:cs="Arial" w:eastAsia="Arial" w:hAnsi="Arial"/>
                <w:sz w:val="13"/>
                <w:szCs w:val="13"/>
                <w:color w:val="auto"/>
              </w:rPr>
              <w:t>Office Depot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Seattle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Aurora Marketplace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106,921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Cascade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211,072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w w:val="93"/>
              </w:rPr>
              <w:t>Fashion Bug, Jo-Ann Fabrics, Ross Dress For Less, Big Lots, Fitness Evolution</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Eastgate Plaza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78,230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2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Grand Ridge </w:t>
            </w:r>
            <w:r>
              <w:rPr>
                <w:rFonts w:ascii="Arial" w:cs="Arial" w:eastAsia="Arial" w:hAnsi="Arial"/>
                <w:sz w:val="8"/>
                <w:szCs w:val="8"/>
                <w:color w:val="auto"/>
              </w:rPr>
              <w:t>(4)</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326,022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 Regal Cinemas</w:t>
            </w:r>
          </w:p>
        </w:tc>
        <w:tc>
          <w:tcPr>
            <w:tcW w:w="4340" w:type="dxa"/>
            <w:vAlign w:val="bottom"/>
          </w:tcPr>
          <w:p>
            <w:pPr>
              <w:ind w:left="40"/>
              <w:spacing w:after="0"/>
              <w:rPr>
                <w:sz w:val="20"/>
                <w:szCs w:val="20"/>
                <w:color w:val="auto"/>
              </w:rPr>
            </w:pPr>
            <w:r>
              <w:rPr>
                <w:rFonts w:ascii="Arial" w:cs="Arial" w:eastAsia="Arial" w:hAnsi="Arial"/>
                <w:sz w:val="13"/>
                <w:szCs w:val="13"/>
                <w:color w:val="auto"/>
              </w:rPr>
              <w:t>Port Blakey</w:t>
            </w:r>
          </w:p>
        </w:tc>
      </w:tr>
      <w:tr>
        <w:trPr>
          <w:trHeight w:val="84"/>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Inglewood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17,253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Overlake Fashion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80,555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(Sears)</w:t>
            </w:r>
          </w:p>
        </w:tc>
        <w:tc>
          <w:tcPr>
            <w:tcW w:w="4340" w:type="dxa"/>
            <w:vAlign w:val="bottom"/>
          </w:tcPr>
          <w:p>
            <w:pPr>
              <w:ind w:left="40"/>
              <w:spacing w:after="0"/>
              <w:rPr>
                <w:sz w:val="20"/>
                <w:szCs w:val="20"/>
                <w:color w:val="auto"/>
              </w:rPr>
            </w:pPr>
            <w:r>
              <w:rPr>
                <w:rFonts w:ascii="Arial" w:cs="Arial" w:eastAsia="Arial" w:hAnsi="Arial"/>
                <w:sz w:val="13"/>
                <w:szCs w:val="13"/>
                <w:color w:val="auto"/>
              </w:rPr>
              <w:t>Marshalls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Pine Lake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102,900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Quality Foods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Sammamish-Highlands</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101,289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Bartell Drugs, Ace Hardware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Southcenter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58,282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(Target)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(WA)</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1,260,665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93.6%</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OREGON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Portland</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Greenway Town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93,101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Lamb's Thriftway</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 Dollar Tree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Murrayhill Marketplace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148,967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Sherwood Crossroads</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87,966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Sherwood Market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124,259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Albertsons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Sunnyside 205</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53,547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Tanasbourne Market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71,000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Whole Foods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Walker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89,610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Bed Bath and Beyond</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Oregon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Corvallis Market Center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84,548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Michael's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Northgate Marketplace</w:t>
            </w:r>
          </w:p>
        </w:tc>
        <w:tc>
          <w:tcPr>
            <w:tcW w:w="70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80,953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REI, PETCO, Ulta Salon</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(OR)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833,951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91.6%</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MINNESOTA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Minneapolis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 xml:space="preserve">Apple Valley Square </w:t>
            </w:r>
            <w:r>
              <w:rPr>
                <w:rFonts w:ascii="Arial" w:cs="Arial" w:eastAsia="Arial" w:hAnsi="Arial"/>
                <w:sz w:val="8"/>
                <w:szCs w:val="8"/>
                <w:color w:val="auto"/>
              </w:rPr>
              <w:t>(5)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184,841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Rainbow Foods, Jo-Ann</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Savers, PETCO</w:t>
            </w:r>
          </w:p>
        </w:tc>
      </w:tr>
      <w:tr>
        <w:trPr>
          <w:trHeight w:val="135"/>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Fabrics, (Burlington Coat</w:t>
            </w:r>
          </w:p>
        </w:tc>
        <w:tc>
          <w:tcPr>
            <w:tcW w:w="4340" w:type="dxa"/>
            <w:vAlign w:val="bottom"/>
            <w:shd w:val="clear" w:color="auto" w:fill="CCEEFF"/>
          </w:tcPr>
          <w:p>
            <w:pPr>
              <w:spacing w:after="0"/>
              <w:rPr>
                <w:sz w:val="11"/>
                <w:szCs w:val="11"/>
                <w:color w:val="auto"/>
              </w:rPr>
            </w:pP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Factory)</w:t>
            </w:r>
          </w:p>
        </w:tc>
        <w:tc>
          <w:tcPr>
            <w:tcW w:w="4340" w:type="dxa"/>
            <w:vAlign w:val="bottom"/>
            <w:shd w:val="clear" w:color="auto" w:fill="CCEEFF"/>
          </w:tcPr>
          <w:p>
            <w:pPr>
              <w:spacing w:after="0"/>
              <w:rPr>
                <w:sz w:val="15"/>
                <w:szCs w:val="15"/>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Calhoun Commons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66,150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Whole Foods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Colonial Square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93,248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Lund's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Rockford Road Plaza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205,479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Rainbow Foods</w:t>
            </w:r>
          </w:p>
        </w:tc>
        <w:tc>
          <w:tcPr>
            <w:tcW w:w="4340" w:type="dxa"/>
            <w:vAlign w:val="bottom"/>
          </w:tcPr>
          <w:p>
            <w:pPr>
              <w:ind w:left="40"/>
              <w:spacing w:after="0"/>
              <w:rPr>
                <w:sz w:val="20"/>
                <w:szCs w:val="20"/>
                <w:color w:val="auto"/>
              </w:rPr>
            </w:pPr>
            <w:r>
              <w:rPr>
                <w:rFonts w:ascii="Arial" w:cs="Arial" w:eastAsia="Arial" w:hAnsi="Arial"/>
                <w:sz w:val="13"/>
                <w:szCs w:val="13"/>
                <w:color w:val="auto"/>
              </w:rPr>
              <w:t>PetSmart, HomeGoods, TJ Maxx</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Rockridge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125,213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Cub Foods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(MN)</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674,931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97.5%</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MASSACHUSETTS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2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Borders>
              <w:bottom w:val="single" w:sz="8" w:color="CCEEFF"/>
            </w:tcBorders>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Boston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Shops at Saugus</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86,855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La-Z-Boy, PetSmart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Twin City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270,242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Shaw's, Marshall's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 K&amp;G Fashion, Dollar Tree, Gold's Gym, Extra Space Storage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 xml:space="preserve">Speedway Plaza </w:t>
            </w:r>
            <w:r>
              <w:rPr>
                <w:rFonts w:ascii="Arial" w:cs="Arial" w:eastAsia="Arial" w:hAnsi="Arial"/>
                <w:sz w:val="8"/>
                <w:szCs w:val="8"/>
                <w:color w:val="auto"/>
              </w:rPr>
              <w:t>(5)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148,767</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95.4%</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Stop &amp; Shop, Burlington</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Coat Factory</w:t>
            </w:r>
          </w:p>
        </w:tc>
        <w:tc>
          <w:tcPr>
            <w:tcW w:w="4340" w:type="dxa"/>
            <w:vAlign w:val="bottom"/>
          </w:tcPr>
          <w:p>
            <w:pPr>
              <w:spacing w:after="0"/>
              <w:rPr>
                <w:sz w:val="14"/>
                <w:szCs w:val="14"/>
                <w:color w:val="auto"/>
              </w:rPr>
            </w:pPr>
          </w:p>
        </w:tc>
      </w:tr>
      <w:tr>
        <w:trPr>
          <w:trHeight w:val="278"/>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(MA)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505,864</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94.8%</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ARIZONA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Phoenix</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Anthem Marketplace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113,293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Palm Valley Marketplace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107,633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Safeway</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48"/>
        </w:trPr>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Pima Crossing</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238,275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93.6%</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Golf &amp; Tennis Pro Shop,</w:t>
            </w:r>
          </w:p>
        </w:tc>
        <w:tc>
          <w:tcPr>
            <w:tcW w:w="43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88"/>
              </w:rPr>
              <w:t>Life Time Fitness, E &amp; J Designer Shoe Outlet, Paddock Pools Store, Pier 1 Imports,</w:t>
            </w: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Stein Mart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Shops at Arizona</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35,710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(AZ)</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494,911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88.4%</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MISSOURI</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St. Louis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Brentwood Plaza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60,452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Schnucks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Bridgeton</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70,762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Schnucks, (Home Depot)</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Dardenne Crossing</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67,430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Schnucks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Kirkwood Commons</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2000</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209,703</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Wal-Mart, (Target),</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TJ Maxx, HomeGoods, Famous Footwear</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(Lowe's)</w:t>
            </w:r>
          </w:p>
        </w:tc>
        <w:tc>
          <w:tcPr>
            <w:tcW w:w="4340" w:type="dxa"/>
            <w:vAlign w:val="bottom"/>
          </w:tcPr>
          <w:p>
            <w:pPr>
              <w:spacing w:after="0"/>
              <w:rPr>
                <w:sz w:val="14"/>
                <w:szCs w:val="14"/>
                <w:color w:val="auto"/>
              </w:rPr>
            </w:pPr>
          </w:p>
        </w:tc>
      </w:tr>
      <w:tr>
        <w:trPr>
          <w:trHeight w:val="278"/>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(MO)</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408,347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99.0%</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TENNESSEE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Nashville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Harpeth Village Fieldstone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70,091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Lebanon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63,800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Northlake Village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137,807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Peartree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109,506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Harris Teeter</w:t>
            </w:r>
          </w:p>
        </w:tc>
        <w:tc>
          <w:tcPr>
            <w:tcW w:w="4340" w:type="dxa"/>
            <w:vAlign w:val="bottom"/>
          </w:tcPr>
          <w:p>
            <w:pPr>
              <w:ind w:left="40"/>
              <w:spacing w:after="0"/>
              <w:rPr>
                <w:sz w:val="20"/>
                <w:szCs w:val="20"/>
                <w:color w:val="auto"/>
              </w:rPr>
            </w:pPr>
            <w:r>
              <w:rPr>
                <w:rFonts w:ascii="Arial" w:cs="Arial" w:eastAsia="Arial" w:hAnsi="Arial"/>
                <w:sz w:val="13"/>
                <w:szCs w:val="13"/>
                <w:color w:val="auto"/>
              </w:rPr>
              <w:t>PETCO, Office Max</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Tennessee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Dickson Tn</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10,908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Eckerd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(TN)</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392,112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95.9%</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2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(GLA)</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 xml:space="preserve">Tenant(s) &gt;40,000 Sq Ft </w:t>
            </w:r>
            <w:r>
              <w:rPr>
                <w:rFonts w:ascii="Arial" w:cs="Arial" w:eastAsia="Arial" w:hAnsi="Arial"/>
                <w:sz w:val="8"/>
                <w:szCs w:val="8"/>
                <w:b w:val="1"/>
                <w:bCs w:val="1"/>
                <w:color w:val="auto"/>
                <w:w w:val="95"/>
              </w:rPr>
              <w:t>(6)</w:t>
            </w:r>
          </w:p>
        </w:tc>
        <w:tc>
          <w:tcPr>
            <w:tcW w:w="4340" w:type="dxa"/>
            <w:vAlign w:val="bottom"/>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270"/>
        </w:trPr>
        <w:tc>
          <w:tcPr>
            <w:tcW w:w="2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Borders>
              <w:top w:val="single" w:sz="8" w:color="auto"/>
            </w:tcBorders>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SOUTH CAROLINA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Charleston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Merchants Village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79,649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Orangeburg</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14,820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Queensborough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82,333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93.9%</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Columbia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Murray Landing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64,359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Other South Carolina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Buckwalter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59,601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Surfside Beach Commons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59,881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Bi-Lo</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(SC)</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360,643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97.1%</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Nevada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Las Vegas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Deer Springs Town Center</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330,907</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91.1%</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(Target), Home Depot, Toys</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Michaels, PetSmart, Ross Dress For Less, Staples</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"R" Us</w:t>
            </w:r>
          </w:p>
        </w:tc>
        <w:tc>
          <w:tcPr>
            <w:tcW w:w="4340" w:type="dxa"/>
            <w:vAlign w:val="bottom"/>
          </w:tcPr>
          <w:p>
            <w:pPr>
              <w:spacing w:after="0"/>
              <w:rPr>
                <w:sz w:val="14"/>
                <w:szCs w:val="14"/>
                <w:color w:val="auto"/>
              </w:rPr>
            </w:pPr>
          </w:p>
        </w:tc>
      </w:tr>
      <w:tr>
        <w:trPr>
          <w:trHeight w:val="278"/>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(NV)</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330,907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91.1%</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DELAWARE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Dover</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White Oak - Dover, DE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10,908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Eckerd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Wilmington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Pike Creek</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232,031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Acme Markets, K-Mart</w:t>
            </w:r>
          </w:p>
        </w:tc>
        <w:tc>
          <w:tcPr>
            <w:tcW w:w="434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Shoppes of Graylyn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66,808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(DE)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309,747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95.5%</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WISCONSIN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Whitnall Square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133,421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Pick 'N' Save</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Harbor Freight Tools, Dollar Tree</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Racine Centre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135,827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Piggly Wiggly</w:t>
            </w:r>
          </w:p>
        </w:tc>
        <w:tc>
          <w:tcPr>
            <w:tcW w:w="4340" w:type="dxa"/>
            <w:vAlign w:val="bottom"/>
          </w:tcPr>
          <w:p>
            <w:pPr>
              <w:ind w:left="40"/>
              <w:spacing w:after="0"/>
              <w:rPr>
                <w:sz w:val="20"/>
                <w:szCs w:val="20"/>
                <w:color w:val="auto"/>
              </w:rPr>
            </w:pPr>
            <w:r>
              <w:rPr>
                <w:rFonts w:ascii="Arial" w:cs="Arial" w:eastAsia="Arial" w:hAnsi="Arial"/>
                <w:sz w:val="13"/>
                <w:szCs w:val="13"/>
                <w:color w:val="auto"/>
              </w:rPr>
              <w:t>Golds Gym, Factory Card Outlet, Dollar Tree</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2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structed </w:t>
            </w:r>
            <w:r>
              <w:rPr>
                <w:rFonts w:ascii="Arial" w:cs="Arial" w:eastAsia="Arial" w:hAnsi="Arial"/>
                <w:sz w:val="8"/>
                <w:szCs w:val="8"/>
                <w:b w:val="1"/>
                <w:bCs w:val="1"/>
                <w:color w:val="auto"/>
                <w:w w:val="86"/>
              </w:rPr>
              <w:t>(2)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(GLA)</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 xml:space="preserve">Tenant(s) &gt;40,000 Sq Ft </w:t>
            </w:r>
            <w:r>
              <w:rPr>
                <w:rFonts w:ascii="Arial" w:cs="Arial" w:eastAsia="Arial" w:hAnsi="Arial"/>
                <w:sz w:val="8"/>
                <w:szCs w:val="8"/>
                <w:b w:val="1"/>
                <w:bCs w:val="1"/>
                <w:color w:val="auto"/>
                <w:w w:val="89"/>
              </w:rPr>
              <w:t>(6)</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(WI)</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269,248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96.9%</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340" w:type="dxa"/>
            <w:vAlign w:val="bottom"/>
            <w:tcBorders>
              <w:bottom w:val="single" w:sz="8" w:color="CCEEFF"/>
            </w:tcBorders>
          </w:tcPr>
          <w:p>
            <w:pPr>
              <w:spacing w:after="0"/>
              <w:rPr>
                <w:sz w:val="8"/>
                <w:szCs w:val="8"/>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ALABAMA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Shoppes at Fairhope Village</w:t>
            </w: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2008</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84,740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Valleydale Village Shop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118,466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Publix</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(AL)</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203,206</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77.7%</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INDIANA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Indianapolis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48"/>
        </w:trPr>
        <w:tc>
          <w:tcPr>
            <w:tcW w:w="24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Greenwood Springs</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28,028</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85.1%</w:t>
            </w:r>
          </w:p>
        </w:tc>
        <w:tc>
          <w:tcPr>
            <w:tcW w:w="100" w:type="dxa"/>
            <w:vAlign w:val="bottom"/>
          </w:tcPr>
          <w:p>
            <w:pPr>
              <w:spacing w:after="0"/>
              <w:rPr>
                <w:sz w:val="12"/>
                <w:szCs w:val="12"/>
                <w:color w:val="auto"/>
              </w:rPr>
            </w:pPr>
          </w:p>
        </w:tc>
        <w:tc>
          <w:tcPr>
            <w:tcW w:w="15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(Gander Mountain), (Wal-</w:t>
            </w:r>
          </w:p>
        </w:tc>
        <w:tc>
          <w:tcPr>
            <w:tcW w:w="4340" w:type="dxa"/>
            <w:vAlign w:val="bottom"/>
          </w:tcPr>
          <w:p>
            <w:pPr>
              <w:ind w:left="40"/>
              <w:spacing w:after="0" w:line="148" w:lineRule="exact"/>
              <w:rPr>
                <w:sz w:val="20"/>
                <w:szCs w:val="20"/>
                <w:color w:val="auto"/>
              </w:rPr>
            </w:pPr>
            <w:r>
              <w:rPr>
                <w:rFonts w:ascii="Arial" w:cs="Arial" w:eastAsia="Arial" w:hAnsi="Arial"/>
                <w:sz w:val="13"/>
                <w:szCs w:val="13"/>
                <w:color w:val="auto"/>
              </w:rPr>
              <w:t>—</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Mart Supercenter)</w:t>
            </w:r>
          </w:p>
        </w:tc>
        <w:tc>
          <w:tcPr>
            <w:tcW w:w="4340" w:type="dxa"/>
            <w:vAlign w:val="bottom"/>
          </w:tcPr>
          <w:p>
            <w:pPr>
              <w:spacing w:after="0"/>
              <w:rPr>
                <w:sz w:val="14"/>
                <w:szCs w:val="14"/>
                <w:color w:val="auto"/>
              </w:rPr>
            </w:pPr>
          </w:p>
        </w:tc>
      </w:tr>
      <w:tr>
        <w:trPr>
          <w:trHeight w:val="181"/>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Willow Lake Shopping Center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85,923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Party City</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Willow Lake West Shopping Center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52,961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Indiana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Airport Crossing</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11,924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(Kohl's)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Augusta Center</w:t>
            </w:r>
          </w:p>
        </w:tc>
        <w:tc>
          <w:tcPr>
            <w:tcW w:w="70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14,533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(Menards)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(IN)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193,369</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91.3%</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CONNECTICUT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Corbin's Corner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1962</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179,865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Toys "R" Us, Best Buy, Old Navy, Office Depot, Pier 1 Imports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(CT)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179,865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99.8%</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NEW JERSEY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Plaza Square </w:t>
            </w:r>
            <w:r>
              <w:rPr>
                <w:rFonts w:ascii="Arial" w:cs="Arial" w:eastAsia="Arial" w:hAnsi="Arial"/>
                <w:sz w:val="8"/>
                <w:szCs w:val="8"/>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103,891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Shop Rite</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Haddon Commons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52,640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Acme Markets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(NJ)</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156,531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NEW YORK</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Lake Grove Commons </w:t>
            </w:r>
            <w:r>
              <w:rPr>
                <w:rFonts w:ascii="Arial" w:cs="Arial" w:eastAsia="Arial" w:hAnsi="Arial"/>
                <w:sz w:val="8"/>
                <w:szCs w:val="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141,382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Whole Foods, LA Fitness</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(NY)</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141,382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2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9"/>
              </w:rPr>
              <w:t>Gross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Year</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Leasable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Con-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Area</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1"/>
                <w:szCs w:val="11"/>
                <w:color w:val="auto"/>
              </w:rPr>
            </w:pPr>
          </w:p>
        </w:tc>
        <w:tc>
          <w:tcPr>
            <w:tcW w:w="15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Grocer &amp; Major</w:t>
            </w:r>
          </w:p>
        </w:tc>
        <w:tc>
          <w:tcPr>
            <w:tcW w:w="4340" w:type="dxa"/>
            <w:vAlign w:val="bottom"/>
          </w:tcPr>
          <w:p>
            <w:pPr>
              <w:spacing w:after="0"/>
              <w:rPr>
                <w:sz w:val="11"/>
                <w:szCs w:val="11"/>
                <w:color w:val="auto"/>
              </w:rPr>
            </w:pPr>
          </w:p>
        </w:tc>
      </w:tr>
      <w:tr>
        <w:trPr>
          <w:trHeight w:val="174"/>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Property Name </w:t>
            </w:r>
            <w:r>
              <w:rPr>
                <w:rFonts w:ascii="Arial" w:cs="Arial" w:eastAsia="Arial" w:hAnsi="Arial"/>
                <w:sz w:val="8"/>
                <w:szCs w:val="8"/>
                <w:b w:val="1"/>
                <w:bCs w:val="1"/>
                <w:color w:val="auto"/>
              </w:rPr>
              <w:t>(1)</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 xml:space="preserve">structed </w:t>
            </w:r>
            <w:r>
              <w:rPr>
                <w:rFonts w:ascii="Arial" w:cs="Arial" w:eastAsia="Arial" w:hAnsi="Arial"/>
                <w:sz w:val="8"/>
                <w:szCs w:val="8"/>
                <w:b w:val="1"/>
                <w:bCs w:val="1"/>
                <w:color w:val="auto"/>
                <w:w w:val="89"/>
              </w:rPr>
              <w:t>(2)</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(GLA)</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6"/>
              </w:rPr>
              <w:t xml:space="preserve">Leased </w:t>
            </w:r>
            <w:r>
              <w:rPr>
                <w:rFonts w:ascii="Arial" w:cs="Arial" w:eastAsia="Arial" w:hAnsi="Arial"/>
                <w:sz w:val="8"/>
                <w:szCs w:val="8"/>
                <w:b w:val="1"/>
                <w:bCs w:val="1"/>
                <w:color w:val="auto"/>
                <w:w w:val="96"/>
              </w:rPr>
              <w:t>(3)</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 xml:space="preserve">Tenant(s) &gt;40,000 Sq Ft </w:t>
            </w:r>
            <w:r>
              <w:rPr>
                <w:rFonts w:ascii="Arial" w:cs="Arial" w:eastAsia="Arial" w:hAnsi="Arial"/>
                <w:sz w:val="8"/>
                <w:szCs w:val="8"/>
                <w:b w:val="1"/>
                <w:bCs w:val="1"/>
                <w:color w:val="auto"/>
                <w:w w:val="95"/>
              </w:rPr>
              <w:t>(6)</w:t>
            </w:r>
          </w:p>
        </w:tc>
        <w:tc>
          <w:tcPr>
            <w:tcW w:w="4340" w:type="dxa"/>
            <w:vAlign w:val="bottom"/>
          </w:tcPr>
          <w:p>
            <w:pPr>
              <w:ind w:left="760"/>
              <w:spacing w:after="0"/>
              <w:rPr>
                <w:sz w:val="20"/>
                <w:szCs w:val="20"/>
                <w:color w:val="auto"/>
              </w:rPr>
            </w:pPr>
            <w:r>
              <w:rPr>
                <w:rFonts w:ascii="Arial" w:cs="Arial" w:eastAsia="Arial" w:hAnsi="Arial"/>
                <w:sz w:val="13"/>
                <w:szCs w:val="13"/>
                <w:b w:val="1"/>
                <w:bCs w:val="1"/>
                <w:color w:val="auto"/>
              </w:rPr>
              <w:t>Drug Stores &amp; Other Junior Anchors &gt; 10,000 Sq Ft</w:t>
            </w:r>
          </w:p>
        </w:tc>
      </w:tr>
      <w:tr>
        <w:trPr>
          <w:trHeight w:val="270"/>
        </w:trPr>
        <w:tc>
          <w:tcPr>
            <w:tcW w:w="2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Borders>
              <w:top w:val="single" w:sz="8" w:color="auto"/>
            </w:tcBorders>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MICHIGAN</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State Street Crossing</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21,049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(Wal-Mart)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Fenton Marketplace</w:t>
            </w:r>
          </w:p>
        </w:tc>
        <w:tc>
          <w:tcPr>
            <w:tcW w:w="66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97,224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Michaels</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Subtotal/Weighted Average (MI)</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118,273</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43.9%</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84"/>
        </w:trPr>
        <w:tc>
          <w:tcPr>
            <w:tcW w:w="2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340" w:type="dxa"/>
            <w:vAlign w:val="bottom"/>
            <w:tcBorders>
              <w:bottom w:val="single" w:sz="8" w:color="CCEEFF"/>
            </w:tcBorders>
          </w:tcPr>
          <w:p>
            <w:pPr>
              <w:spacing w:after="0"/>
              <w:rPr>
                <w:sz w:val="7"/>
                <w:szCs w:val="7"/>
                <w:color w:val="auto"/>
              </w:rPr>
            </w:pPr>
          </w:p>
        </w:tc>
      </w:tr>
      <w:tr>
        <w:trPr>
          <w:trHeight w:val="264"/>
        </w:trPr>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DISTRICT OF COLUMBIA</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 xml:space="preserve">Shops at The Columbia </w:t>
            </w:r>
            <w:r>
              <w:rPr>
                <w:rFonts w:ascii="Arial" w:cs="Arial" w:eastAsia="Arial" w:hAnsi="Arial"/>
                <w:sz w:val="8"/>
                <w:szCs w:val="8"/>
                <w:color w:val="auto"/>
              </w:rPr>
              <w:t>(5)</w:t>
            </w:r>
          </w:p>
        </w:tc>
        <w:tc>
          <w:tcPr>
            <w:tcW w:w="660" w:type="dxa"/>
            <w:vAlign w:val="bottom"/>
          </w:tcPr>
          <w:p>
            <w:pPr>
              <w:jc w:val="right"/>
              <w:spacing w:after="0"/>
              <w:rPr>
                <w:sz w:val="20"/>
                <w:szCs w:val="20"/>
                <w:color w:val="auto"/>
              </w:rPr>
            </w:pPr>
            <w:r>
              <w:rPr>
                <w:rFonts w:ascii="Arial" w:cs="Arial" w:eastAsia="Arial" w:hAnsi="Arial"/>
                <w:sz w:val="13"/>
                <w:szCs w:val="13"/>
                <w:color w:val="auto"/>
              </w:rPr>
              <w:t>2006</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22,812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color w:val="auto"/>
              </w:rPr>
              <w:t>Trader Joe's</w:t>
            </w:r>
          </w:p>
        </w:tc>
        <w:tc>
          <w:tcPr>
            <w:tcW w:w="4340" w:type="dxa"/>
            <w:vAlign w:val="bottom"/>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Spring Valley Shopping Center </w:t>
            </w:r>
            <w:r>
              <w:rPr>
                <w:rFonts w:ascii="Arial" w:cs="Arial" w:eastAsia="Arial" w:hAnsi="Arial"/>
                <w:sz w:val="8"/>
                <w:szCs w:val="8"/>
                <w:color w:val="auto"/>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16,835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(DC)</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39,647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KENTUCKY</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17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Walton Towne Center</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23,186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4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r>
      <w:tr>
        <w:trPr>
          <w:trHeight w:val="270"/>
        </w:trPr>
        <w:tc>
          <w:tcPr>
            <w:tcW w:w="2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spacing w:after="0"/>
              <w:rPr>
                <w:sz w:val="23"/>
                <w:szCs w:val="23"/>
                <w:color w:val="auto"/>
              </w:rPr>
            </w:pPr>
          </w:p>
        </w:tc>
      </w:tr>
      <w:tr>
        <w:trPr>
          <w:trHeight w:val="16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Subtotal/Weighted Average (KY)</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23,186</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r>
      <w:tr>
        <w:trPr>
          <w:trHeight w:val="84"/>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40" w:type="dxa"/>
            <w:vAlign w:val="bottom"/>
            <w:shd w:val="clear" w:color="auto" w:fill="CCEEFF"/>
          </w:tcPr>
          <w:p>
            <w:pPr>
              <w:spacing w:after="0"/>
              <w:rPr>
                <w:sz w:val="7"/>
                <w:szCs w:val="7"/>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r>
      <w:tr>
        <w:trPr>
          <w:trHeight w:val="167"/>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Total/Weighted Average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40,293,379</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94.6%</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70"/>
        </w:trPr>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340" w:type="dxa"/>
            <w:vAlign w:val="bottom"/>
          </w:tcPr>
          <w:p>
            <w:pPr>
              <w:spacing w:after="0"/>
              <w:rPr>
                <w:sz w:val="6"/>
                <w:szCs w:val="6"/>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 w:right="520" w:hanging="5"/>
        <w:spacing w:after="0" w:line="232" w:lineRule="auto"/>
        <w:tabs>
          <w:tab w:leader="none" w:pos="229"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This table includes both Regency's Consolidated and Unconsolidated Properties ("Combined Portfolio") and excludes the properties of BRET as the property holdings of BRET do not impact the rate of return on Regency's preferred stock investment</w:t>
      </w:r>
    </w:p>
    <w:p>
      <w:pPr>
        <w:spacing w:after="0" w:line="19" w:lineRule="exact"/>
        <w:rPr>
          <w:rFonts w:ascii="Arial" w:cs="Arial" w:eastAsia="Arial" w:hAnsi="Arial"/>
          <w:sz w:val="23"/>
          <w:szCs w:val="23"/>
          <w:color w:val="auto"/>
          <w:vertAlign w:val="superscript"/>
        </w:rPr>
      </w:pPr>
    </w:p>
    <w:p>
      <w:pPr>
        <w:ind w:left="220" w:hanging="185"/>
        <w:spacing w:after="0"/>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Or latest renovation.</w:t>
      </w:r>
    </w:p>
    <w:p>
      <w:pPr>
        <w:spacing w:after="0" w:line="55" w:lineRule="exact"/>
        <w:rPr>
          <w:rFonts w:ascii="Arial" w:cs="Arial" w:eastAsia="Arial" w:hAnsi="Arial"/>
          <w:sz w:val="22"/>
          <w:szCs w:val="22"/>
          <w:color w:val="auto"/>
          <w:vertAlign w:val="superscript"/>
        </w:rPr>
      </w:pPr>
    </w:p>
    <w:p>
      <w:pPr>
        <w:ind w:left="40" w:right="360" w:hanging="5"/>
        <w:spacing w:after="0" w:line="232" w:lineRule="auto"/>
        <w:tabs>
          <w:tab w:leader="none" w:pos="232"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Includes properties where the Company has not yet incurred at least 90% of the expected costs to complete and the anchor has not yet been open for at least two calendar years ("development properties" or "properties in development"). If development properties are excluded, the total percentage leased would be 94.8% for Company's Combined Portfolio of shopping centers.</w:t>
      </w:r>
    </w:p>
    <w:p>
      <w:pPr>
        <w:spacing w:after="0" w:line="19" w:lineRule="exact"/>
        <w:rPr>
          <w:rFonts w:ascii="Arial" w:cs="Arial" w:eastAsia="Arial" w:hAnsi="Arial"/>
          <w:sz w:val="24"/>
          <w:szCs w:val="24"/>
          <w:color w:val="auto"/>
          <w:vertAlign w:val="superscript"/>
        </w:rPr>
      </w:pPr>
    </w:p>
    <w:p>
      <w:pPr>
        <w:ind w:left="220" w:hanging="185"/>
        <w:spacing w:after="0"/>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Property in development.</w:t>
      </w:r>
    </w:p>
    <w:p>
      <w:pPr>
        <w:spacing w:after="0" w:line="55" w:lineRule="exact"/>
        <w:rPr>
          <w:rFonts w:ascii="Arial" w:cs="Arial" w:eastAsia="Arial" w:hAnsi="Arial"/>
          <w:sz w:val="22"/>
          <w:szCs w:val="22"/>
          <w:color w:val="auto"/>
          <w:vertAlign w:val="superscript"/>
        </w:rPr>
      </w:pPr>
    </w:p>
    <w:p>
      <w:pPr>
        <w:ind w:left="220" w:hanging="185"/>
        <w:spacing w:after="0" w:line="203" w:lineRule="auto"/>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Owned by a co-investment partnership with outside investors in which RCLP or an affiliate is the general partner or has a voting interest.</w:t>
      </w:r>
    </w:p>
    <w:p>
      <w:pPr>
        <w:spacing w:after="0" w:line="56" w:lineRule="exact"/>
        <w:rPr>
          <w:rFonts w:ascii="Arial" w:cs="Arial" w:eastAsia="Arial" w:hAnsi="Arial"/>
          <w:sz w:val="22"/>
          <w:szCs w:val="22"/>
          <w:color w:val="auto"/>
          <w:vertAlign w:val="superscript"/>
        </w:rPr>
      </w:pPr>
    </w:p>
    <w:p>
      <w:pPr>
        <w:ind w:left="220" w:hanging="185"/>
        <w:spacing w:after="0" w:line="203" w:lineRule="auto"/>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A retailer that supports the Company's shopping center and in which the Company has no ownership is indicated by parentheses.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8" w:right="23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are a party to various legal proceedings that arise in the ordinary course of our business. We are not currently involved in any litigation nor to our knowledge, is any litigation threatened against us, the outcome of which would, in our judgment based on information currently available to us, have a material adverse effect on our financial position or results of operations.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27" w:lineRule="exact"/>
        <w:rPr>
          <w:sz w:val="20"/>
          <w:szCs w:val="20"/>
          <w:color w:val="auto"/>
        </w:rPr>
      </w:pPr>
    </w:p>
    <w:p>
      <w:pPr>
        <w:ind w:right="220" w:firstLine="648"/>
        <w:spacing w:after="0" w:line="256" w:lineRule="auto"/>
        <w:rPr>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ur common stock (NYSE: REG) is traded on the New York Stock Exchange. The following table sets forth the high and low sales prices and the</w:t>
      </w:r>
      <w:r>
        <w:rPr>
          <w:rFonts w:ascii="Arial" w:cs="Arial" w:eastAsia="Arial" w:hAnsi="Arial"/>
          <w:sz w:val="20"/>
          <w:szCs w:val="20"/>
          <w:color w:val="auto"/>
        </w:rPr>
        <w:t xml:space="preserve"> </w:t>
      </w:r>
      <w:r>
        <w:rPr>
          <w:rFonts w:ascii="Arial" w:cs="Arial" w:eastAsia="Arial" w:hAnsi="Arial"/>
          <w:sz w:val="18"/>
          <w:szCs w:val="18"/>
          <w:color w:val="auto"/>
        </w:rPr>
        <w:t>cash dividends declared on our common stock by quarter for 2012 and 2011.</w:t>
      </w:r>
    </w:p>
    <w:p>
      <w:pPr>
        <w:spacing w:after="0" w:line="147"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1140" w:type="dxa"/>
            <w:vAlign w:val="bottom"/>
          </w:tcPr>
          <w:p>
            <w:pPr>
              <w:spacing w:after="0"/>
              <w:rPr>
                <w:sz w:val="18"/>
                <w:szCs w:val="18"/>
                <w:color w:val="auto"/>
              </w:rPr>
            </w:pPr>
          </w:p>
        </w:tc>
      </w:tr>
      <w:tr>
        <w:trPr>
          <w:trHeight w:val="33"/>
        </w:trPr>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1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color w:val="auto"/>
                <w:w w:val="90"/>
              </w:rPr>
              <w:t>Cash</w:t>
            </w: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5"/>
              </w:rPr>
              <w:t>Cash</w:t>
            </w:r>
          </w:p>
        </w:tc>
      </w:tr>
      <w:tr>
        <w:trPr>
          <w:trHeight w:val="270"/>
        </w:trPr>
        <w:tc>
          <w:tcPr>
            <w:tcW w:w="1580" w:type="dxa"/>
            <w:vAlign w:val="bottom"/>
          </w:tcPr>
          <w:p>
            <w:pPr>
              <w:ind w:left="660"/>
              <w:spacing w:after="0"/>
              <w:rPr>
                <w:sz w:val="20"/>
                <w:szCs w:val="20"/>
                <w:color w:val="auto"/>
              </w:rPr>
            </w:pPr>
            <w:r>
              <w:rPr>
                <w:rFonts w:ascii="Arial" w:cs="Arial" w:eastAsia="Arial" w:hAnsi="Arial"/>
                <w:sz w:val="16"/>
                <w:szCs w:val="16"/>
                <w:color w:val="auto"/>
              </w:rPr>
              <w:t>Quarter</w:t>
            </w:r>
          </w:p>
        </w:tc>
        <w:tc>
          <w:tcPr>
            <w:tcW w:w="560" w:type="dxa"/>
            <w:vAlign w:val="bottom"/>
          </w:tcPr>
          <w:p>
            <w:pPr>
              <w:spacing w:after="0"/>
              <w:rPr>
                <w:sz w:val="23"/>
                <w:szCs w:val="23"/>
                <w:color w:val="auto"/>
              </w:rPr>
            </w:pPr>
          </w:p>
        </w:tc>
        <w:tc>
          <w:tcPr>
            <w:tcW w:w="1560" w:type="dxa"/>
            <w:vAlign w:val="bottom"/>
          </w:tcPr>
          <w:p>
            <w:pPr>
              <w:jc w:val="right"/>
              <w:ind w:right="619"/>
              <w:spacing w:after="0"/>
              <w:rPr>
                <w:sz w:val="20"/>
                <w:szCs w:val="20"/>
                <w:color w:val="auto"/>
              </w:rPr>
            </w:pPr>
            <w:r>
              <w:rPr>
                <w:rFonts w:ascii="Arial" w:cs="Arial" w:eastAsia="Arial" w:hAnsi="Arial"/>
                <w:sz w:val="16"/>
                <w:szCs w:val="16"/>
                <w:color w:val="auto"/>
              </w:rPr>
              <w:t>High</w:t>
            </w:r>
          </w:p>
        </w:tc>
        <w:tc>
          <w:tcPr>
            <w:tcW w:w="1200" w:type="dxa"/>
            <w:vAlign w:val="bottom"/>
          </w:tcPr>
          <w:p>
            <w:pPr>
              <w:jc w:val="right"/>
              <w:ind w:right="499"/>
              <w:spacing w:after="0"/>
              <w:rPr>
                <w:sz w:val="20"/>
                <w:szCs w:val="20"/>
                <w:color w:val="auto"/>
              </w:rPr>
            </w:pPr>
            <w:r>
              <w:rPr>
                <w:rFonts w:ascii="Arial" w:cs="Arial" w:eastAsia="Arial" w:hAnsi="Arial"/>
                <w:sz w:val="16"/>
                <w:szCs w:val="16"/>
                <w:color w:val="auto"/>
              </w:rPr>
              <w:t>Low</w:t>
            </w:r>
          </w:p>
        </w:tc>
        <w:tc>
          <w:tcPr>
            <w:tcW w:w="1200" w:type="dxa"/>
            <w:vAlign w:val="bottom"/>
          </w:tcPr>
          <w:p>
            <w:pPr>
              <w:jc w:val="center"/>
              <w:ind w:right="19"/>
              <w:spacing w:after="0"/>
              <w:rPr>
                <w:sz w:val="20"/>
                <w:szCs w:val="20"/>
                <w:color w:val="auto"/>
              </w:rPr>
            </w:pPr>
            <w:r>
              <w:rPr>
                <w:rFonts w:ascii="Arial" w:cs="Arial" w:eastAsia="Arial" w:hAnsi="Arial"/>
                <w:sz w:val="16"/>
                <w:szCs w:val="16"/>
                <w:color w:val="auto"/>
                <w:w w:val="93"/>
              </w:rPr>
              <w:t>Dividends</w:t>
            </w:r>
          </w:p>
        </w:tc>
        <w:tc>
          <w:tcPr>
            <w:tcW w:w="420" w:type="dxa"/>
            <w:vAlign w:val="bottom"/>
          </w:tcPr>
          <w:p>
            <w:pPr>
              <w:spacing w:after="0"/>
              <w:rPr>
                <w:sz w:val="23"/>
                <w:szCs w:val="23"/>
                <w:color w:val="auto"/>
              </w:rPr>
            </w:pPr>
          </w:p>
        </w:tc>
        <w:tc>
          <w:tcPr>
            <w:tcW w:w="1600" w:type="dxa"/>
            <w:vAlign w:val="bottom"/>
          </w:tcPr>
          <w:p>
            <w:pPr>
              <w:jc w:val="right"/>
              <w:ind w:right="659"/>
              <w:spacing w:after="0"/>
              <w:rPr>
                <w:sz w:val="20"/>
                <w:szCs w:val="20"/>
                <w:color w:val="auto"/>
              </w:rPr>
            </w:pPr>
            <w:r>
              <w:rPr>
                <w:rFonts w:ascii="Arial" w:cs="Arial" w:eastAsia="Arial" w:hAnsi="Arial"/>
                <w:sz w:val="16"/>
                <w:szCs w:val="16"/>
                <w:color w:val="auto"/>
              </w:rPr>
              <w:t>High</w:t>
            </w:r>
          </w:p>
        </w:tc>
        <w:tc>
          <w:tcPr>
            <w:tcW w:w="1360" w:type="dxa"/>
            <w:vAlign w:val="bottom"/>
          </w:tcPr>
          <w:p>
            <w:pPr>
              <w:jc w:val="right"/>
              <w:ind w:right="619"/>
              <w:spacing w:after="0"/>
              <w:rPr>
                <w:sz w:val="20"/>
                <w:szCs w:val="20"/>
                <w:color w:val="auto"/>
              </w:rPr>
            </w:pPr>
            <w:r>
              <w:rPr>
                <w:rFonts w:ascii="Arial" w:cs="Arial" w:eastAsia="Arial" w:hAnsi="Arial"/>
                <w:sz w:val="16"/>
                <w:szCs w:val="16"/>
                <w:color w:val="auto"/>
              </w:rPr>
              <w:t>Low</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96"/>
              </w:rPr>
              <w:t>Dividends</w:t>
            </w:r>
          </w:p>
        </w:tc>
      </w:tr>
      <w:tr>
        <w:trPr>
          <w:trHeight w:val="270"/>
        </w:trPr>
        <w:tc>
          <w:tcPr>
            <w:tcW w:w="1580" w:type="dxa"/>
            <w:vAlign w:val="bottom"/>
          </w:tcPr>
          <w:p>
            <w:pPr>
              <w:ind w:left="700"/>
              <w:spacing w:after="0"/>
              <w:rPr>
                <w:sz w:val="20"/>
                <w:szCs w:val="20"/>
                <w:color w:val="auto"/>
              </w:rPr>
            </w:pPr>
            <w:r>
              <w:rPr>
                <w:rFonts w:ascii="Arial" w:cs="Arial" w:eastAsia="Arial" w:hAnsi="Arial"/>
                <w:sz w:val="16"/>
                <w:szCs w:val="16"/>
                <w:color w:val="auto"/>
              </w:rPr>
              <w:t>Ended</w:t>
            </w:r>
          </w:p>
        </w:tc>
        <w:tc>
          <w:tcPr>
            <w:tcW w:w="560" w:type="dxa"/>
            <w:vAlign w:val="bottom"/>
          </w:tcPr>
          <w:p>
            <w:pPr>
              <w:spacing w:after="0"/>
              <w:rPr>
                <w:sz w:val="23"/>
                <w:szCs w:val="23"/>
                <w:color w:val="auto"/>
              </w:rPr>
            </w:pPr>
          </w:p>
        </w:tc>
        <w:tc>
          <w:tcPr>
            <w:tcW w:w="1560" w:type="dxa"/>
            <w:vAlign w:val="bottom"/>
          </w:tcPr>
          <w:p>
            <w:pPr>
              <w:jc w:val="right"/>
              <w:ind w:right="619"/>
              <w:spacing w:after="0"/>
              <w:rPr>
                <w:sz w:val="20"/>
                <w:szCs w:val="20"/>
                <w:color w:val="auto"/>
              </w:rPr>
            </w:pPr>
            <w:r>
              <w:rPr>
                <w:rFonts w:ascii="Arial" w:cs="Arial" w:eastAsia="Arial" w:hAnsi="Arial"/>
                <w:sz w:val="16"/>
                <w:szCs w:val="16"/>
                <w:color w:val="auto"/>
              </w:rPr>
              <w:t>Price</w:t>
            </w:r>
          </w:p>
        </w:tc>
        <w:tc>
          <w:tcPr>
            <w:tcW w:w="1200" w:type="dxa"/>
            <w:vAlign w:val="bottom"/>
          </w:tcPr>
          <w:p>
            <w:pPr>
              <w:jc w:val="right"/>
              <w:ind w:right="479"/>
              <w:spacing w:after="0"/>
              <w:rPr>
                <w:sz w:val="20"/>
                <w:szCs w:val="20"/>
                <w:color w:val="auto"/>
              </w:rPr>
            </w:pPr>
            <w:r>
              <w:rPr>
                <w:rFonts w:ascii="Arial" w:cs="Arial" w:eastAsia="Arial" w:hAnsi="Arial"/>
                <w:sz w:val="16"/>
                <w:szCs w:val="16"/>
                <w:color w:val="auto"/>
              </w:rPr>
              <w:t>Price</w:t>
            </w:r>
          </w:p>
        </w:tc>
        <w:tc>
          <w:tcPr>
            <w:tcW w:w="1200" w:type="dxa"/>
            <w:vAlign w:val="bottom"/>
          </w:tcPr>
          <w:p>
            <w:pPr>
              <w:jc w:val="center"/>
              <w:ind w:right="19"/>
              <w:spacing w:after="0"/>
              <w:rPr>
                <w:sz w:val="20"/>
                <w:szCs w:val="20"/>
                <w:color w:val="auto"/>
              </w:rPr>
            </w:pPr>
            <w:r>
              <w:rPr>
                <w:rFonts w:ascii="Arial" w:cs="Arial" w:eastAsia="Arial" w:hAnsi="Arial"/>
                <w:sz w:val="16"/>
                <w:szCs w:val="16"/>
                <w:color w:val="auto"/>
                <w:w w:val="90"/>
              </w:rPr>
              <w:t>Declared</w:t>
            </w:r>
          </w:p>
        </w:tc>
        <w:tc>
          <w:tcPr>
            <w:tcW w:w="420" w:type="dxa"/>
            <w:vAlign w:val="bottom"/>
          </w:tcPr>
          <w:p>
            <w:pPr>
              <w:spacing w:after="0"/>
              <w:rPr>
                <w:sz w:val="23"/>
                <w:szCs w:val="23"/>
                <w:color w:val="auto"/>
              </w:rPr>
            </w:pPr>
          </w:p>
        </w:tc>
        <w:tc>
          <w:tcPr>
            <w:tcW w:w="1600" w:type="dxa"/>
            <w:vAlign w:val="bottom"/>
          </w:tcPr>
          <w:p>
            <w:pPr>
              <w:jc w:val="right"/>
              <w:ind w:right="659"/>
              <w:spacing w:after="0"/>
              <w:rPr>
                <w:sz w:val="20"/>
                <w:szCs w:val="20"/>
                <w:color w:val="auto"/>
              </w:rPr>
            </w:pPr>
            <w:r>
              <w:rPr>
                <w:rFonts w:ascii="Arial" w:cs="Arial" w:eastAsia="Arial" w:hAnsi="Arial"/>
                <w:sz w:val="16"/>
                <w:szCs w:val="16"/>
                <w:color w:val="auto"/>
              </w:rPr>
              <w:t>Price</w:t>
            </w: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Price</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93"/>
              </w:rPr>
              <w:t>Declared</w:t>
            </w:r>
          </w:p>
        </w:tc>
      </w:tr>
      <w:tr>
        <w:trPr>
          <w:trHeight w:val="33"/>
        </w:trPr>
        <w:tc>
          <w:tcPr>
            <w:tcW w:w="1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31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44.78</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40.90</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0.4625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45.36</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40.90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0.4625</w:t>
            </w:r>
          </w:p>
        </w:tc>
      </w:tr>
      <w:tr>
        <w:trPr>
          <w:trHeight w:val="237"/>
        </w:trPr>
        <w:tc>
          <w:tcPr>
            <w:tcW w:w="1580" w:type="dxa"/>
            <w:vAlign w:val="bottom"/>
          </w:tcPr>
          <w:p>
            <w:pPr>
              <w:ind w:left="20"/>
              <w:spacing w:after="0"/>
              <w:rPr>
                <w:sz w:val="20"/>
                <w:szCs w:val="20"/>
                <w:color w:val="auto"/>
              </w:rPr>
            </w:pPr>
            <w:r>
              <w:rPr>
                <w:rFonts w:ascii="Arial" w:cs="Arial" w:eastAsia="Arial" w:hAnsi="Arial"/>
                <w:sz w:val="16"/>
                <w:szCs w:val="16"/>
                <w:color w:val="auto"/>
              </w:rPr>
              <w:t>June 30</w:t>
            </w:r>
          </w:p>
        </w:tc>
        <w:tc>
          <w:tcPr>
            <w:tcW w:w="560" w:type="dxa"/>
            <w:vAlign w:val="bottom"/>
          </w:tcPr>
          <w:p>
            <w:pPr>
              <w:spacing w:after="0"/>
              <w:rPr>
                <w:sz w:val="20"/>
                <w:szCs w:val="20"/>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47.99</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41.65</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0.4625</w:t>
            </w:r>
          </w:p>
        </w:tc>
        <w:tc>
          <w:tcPr>
            <w:tcW w:w="420" w:type="dxa"/>
            <w:vAlign w:val="bottom"/>
          </w:tcPr>
          <w:p>
            <w:pPr>
              <w:spacing w:after="0"/>
              <w:rPr>
                <w:sz w:val="20"/>
                <w:szCs w:val="20"/>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47.51</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41.00</w:t>
            </w:r>
          </w:p>
        </w:tc>
        <w:tc>
          <w:tcPr>
            <w:tcW w:w="1140" w:type="dxa"/>
            <w:vAlign w:val="bottom"/>
          </w:tcPr>
          <w:p>
            <w:pPr>
              <w:jc w:val="right"/>
              <w:spacing w:after="0"/>
              <w:rPr>
                <w:sz w:val="20"/>
                <w:szCs w:val="20"/>
                <w:color w:val="auto"/>
              </w:rPr>
            </w:pPr>
            <w:r>
              <w:rPr>
                <w:rFonts w:ascii="Arial" w:cs="Arial" w:eastAsia="Arial" w:hAnsi="Arial"/>
                <w:sz w:val="16"/>
                <w:szCs w:val="16"/>
                <w:color w:val="auto"/>
              </w:rPr>
              <w:t>0.4625</w:t>
            </w:r>
          </w:p>
        </w:tc>
      </w:tr>
      <w:tr>
        <w:trPr>
          <w:trHeight w:val="33"/>
        </w:trPr>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September 30</w:t>
            </w:r>
          </w:p>
        </w:tc>
        <w:tc>
          <w:tcPr>
            <w:tcW w:w="5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51.38</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45.81</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0.4625</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47.90</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34.11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0.4625</w:t>
            </w:r>
          </w:p>
        </w:tc>
      </w:tr>
      <w:tr>
        <w:trPr>
          <w:trHeight w:val="237"/>
        </w:trPr>
        <w:tc>
          <w:tcPr>
            <w:tcW w:w="1580" w:type="dxa"/>
            <w:vAlign w:val="bottom"/>
          </w:tcPr>
          <w:p>
            <w:pPr>
              <w:ind w:left="20"/>
              <w:spacing w:after="0"/>
              <w:rPr>
                <w:sz w:val="20"/>
                <w:szCs w:val="20"/>
                <w:color w:val="auto"/>
              </w:rPr>
            </w:pPr>
            <w:r>
              <w:rPr>
                <w:rFonts w:ascii="Arial" w:cs="Arial" w:eastAsia="Arial" w:hAnsi="Arial"/>
                <w:sz w:val="16"/>
                <w:szCs w:val="16"/>
                <w:color w:val="auto"/>
              </w:rPr>
              <w:t>December 31</w:t>
            </w:r>
          </w:p>
        </w:tc>
        <w:tc>
          <w:tcPr>
            <w:tcW w:w="560" w:type="dxa"/>
            <w:vAlign w:val="bottom"/>
          </w:tcPr>
          <w:p>
            <w:pPr>
              <w:spacing w:after="0"/>
              <w:rPr>
                <w:sz w:val="20"/>
                <w:szCs w:val="20"/>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50.40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36.30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0.4625</w:t>
            </w:r>
          </w:p>
        </w:tc>
        <w:tc>
          <w:tcPr>
            <w:tcW w:w="420" w:type="dxa"/>
            <w:vAlign w:val="bottom"/>
          </w:tcPr>
          <w:p>
            <w:pPr>
              <w:spacing w:after="0"/>
              <w:rPr>
                <w:sz w:val="20"/>
                <w:szCs w:val="20"/>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41.64</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32.30</w:t>
            </w:r>
          </w:p>
        </w:tc>
        <w:tc>
          <w:tcPr>
            <w:tcW w:w="1140" w:type="dxa"/>
            <w:vAlign w:val="bottom"/>
          </w:tcPr>
          <w:p>
            <w:pPr>
              <w:jc w:val="right"/>
              <w:spacing w:after="0"/>
              <w:rPr>
                <w:sz w:val="20"/>
                <w:szCs w:val="20"/>
                <w:color w:val="auto"/>
              </w:rPr>
            </w:pPr>
            <w:r>
              <w:rPr>
                <w:rFonts w:ascii="Arial" w:cs="Arial" w:eastAsia="Arial" w:hAnsi="Arial"/>
                <w:sz w:val="16"/>
                <w:szCs w:val="16"/>
                <w:color w:val="auto"/>
              </w:rPr>
              <w:t>0.4625</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determined that the dividends paid during 2012 and 2011 on our common stock qualify for the following tax treatment:</w:t>
      </w:r>
    </w:p>
    <w:p>
      <w:pPr>
        <w:spacing w:after="0" w:line="354"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Total</w:t>
            </w: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Distribution per</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Ordinary</w:t>
            </w: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Total Capital Gain</w:t>
            </w: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rPr>
              <w:t>Nontaxable</w:t>
            </w:r>
          </w:p>
        </w:tc>
      </w:tr>
      <w:tr>
        <w:trPr>
          <w:trHeight w:val="234"/>
        </w:trPr>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Share</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Dividends</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Distributions</w:t>
            </w: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Distributions</w:t>
            </w:r>
          </w:p>
        </w:tc>
      </w:tr>
      <w:tr>
        <w:trPr>
          <w:trHeight w:val="27"/>
        </w:trPr>
        <w:tc>
          <w:tcPr>
            <w:tcW w:w="2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jc w:val="right"/>
              <w:ind w:right="2210"/>
              <w:spacing w:after="0"/>
              <w:rPr>
                <w:sz w:val="20"/>
                <w:szCs w:val="20"/>
                <w:color w:val="auto"/>
              </w:rPr>
            </w:pPr>
            <w:r>
              <w:rPr>
                <w:rFonts w:ascii="Arial" w:cs="Arial" w:eastAsia="Arial" w:hAnsi="Arial"/>
                <w:sz w:val="18"/>
                <w:szCs w:val="18"/>
                <w:color w:val="auto"/>
                <w:w w:val="94"/>
              </w:rPr>
              <w:t>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0.0185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0.5180</w:t>
            </w:r>
          </w:p>
        </w:tc>
      </w:tr>
      <w:tr>
        <w:trPr>
          <w:trHeight w:val="243"/>
        </w:trPr>
        <w:tc>
          <w:tcPr>
            <w:tcW w:w="2700" w:type="dxa"/>
            <w:vAlign w:val="bottom"/>
          </w:tcPr>
          <w:p>
            <w:pPr>
              <w:jc w:val="right"/>
              <w:ind w:right="2230"/>
              <w:spacing w:after="0"/>
              <w:rPr>
                <w:sz w:val="20"/>
                <w:szCs w:val="20"/>
                <w:color w:val="auto"/>
              </w:rPr>
            </w:pPr>
            <w:r>
              <w:rPr>
                <w:rFonts w:ascii="Arial" w:cs="Arial" w:eastAsia="Arial" w:hAnsi="Arial"/>
                <w:sz w:val="18"/>
                <w:szCs w:val="18"/>
                <w:color w:val="auto"/>
                <w:w w:val="89"/>
              </w:rPr>
              <w:t>2011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1.8500</w:t>
            </w:r>
          </w:p>
        </w:tc>
        <w:tc>
          <w:tcPr>
            <w:tcW w:w="1100" w:type="dxa"/>
            <w:vAlign w:val="bottom"/>
          </w:tcPr>
          <w:p>
            <w:pPr>
              <w:jc w:val="right"/>
              <w:spacing w:after="0"/>
              <w:rPr>
                <w:sz w:val="20"/>
                <w:szCs w:val="20"/>
                <w:color w:val="auto"/>
              </w:rPr>
            </w:pPr>
            <w:r>
              <w:rPr>
                <w:rFonts w:ascii="Arial" w:cs="Arial" w:eastAsia="Arial" w:hAnsi="Arial"/>
                <w:sz w:val="18"/>
                <w:szCs w:val="18"/>
                <w:color w:val="auto"/>
              </w:rPr>
              <w:t>0.6105</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0.0185</w:t>
            </w:r>
          </w:p>
        </w:tc>
        <w:tc>
          <w:tcPr>
            <w:tcW w:w="1480" w:type="dxa"/>
            <w:vAlign w:val="bottom"/>
          </w:tcPr>
          <w:p>
            <w:pPr>
              <w:jc w:val="right"/>
              <w:spacing w:after="0"/>
              <w:rPr>
                <w:sz w:val="20"/>
                <w:szCs w:val="20"/>
                <w:color w:val="auto"/>
              </w:rPr>
            </w:pPr>
            <w:r>
              <w:rPr>
                <w:rFonts w:ascii="Arial" w:cs="Arial" w:eastAsia="Arial" w:hAnsi="Arial"/>
                <w:sz w:val="18"/>
                <w:szCs w:val="18"/>
                <w:color w:val="auto"/>
              </w:rPr>
              <w:t>1.2210</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22, 2013, there were approximately 15,000 holders of common equity.</w:t>
      </w:r>
    </w:p>
    <w:p>
      <w:pPr>
        <w:spacing w:after="0" w:line="18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intend to pay regular quarterly distributions to Regency Centers Corporations' common stockholders. Future distributions will be declared and paid at the discretion of our Board of Directors, and will depend upon cash generated by operating activities, our financial condition, capital requirements, annual dividend requirements under the REIT provisions of the Internal Revenue Code of 1986, as amended, and such other factors as our Board of Directors deems relevant. In order to maintain Regency Centers Corporation's qualification as a REIT for federal income tax purposes, we are generally required to make annual distributions at least equal to 90% of our real estate investment trust taxable income for the taxable year. Under certain circumstances, which we do not expect to occur, we could be required to make distributions in excess of cash available for distributions in order to meet such requirements. The Company has a dividend reinvestment plan under which shareholders may elect to reinvest their dividends automatically in common stock. Under the plan, the Company may elect to purchase common stock in the open market on behalf of shareholders or may issue new common stock to such shareholders.</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Under the loan agreement of our line of credit, in the event of any monetary default, we may not make distributions to stockholders except to the extent necessary to maintain our REIT status.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unregistered sales of equity securities during the quarter ended December 31, 2012. The Company did not repurchase any of its equity securities during the quarter-ended December 31, 2012.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5" w:name="page36"/>
    <w:bookmarkEnd w:id="35"/>
    <w:p>
      <w:pPr>
        <w:ind w:firstLine="648"/>
        <w:spacing w:after="0" w:line="259" w:lineRule="auto"/>
        <w:rPr>
          <w:sz w:val="20"/>
          <w:szCs w:val="20"/>
          <w:color w:val="auto"/>
        </w:rPr>
      </w:pPr>
      <w:r>
        <w:rPr>
          <w:rFonts w:ascii="Arial" w:cs="Arial" w:eastAsia="Arial" w:hAnsi="Arial"/>
          <w:sz w:val="18"/>
          <w:szCs w:val="18"/>
          <w:color w:val="auto"/>
        </w:rPr>
        <w:t>The performance graph furnished below shows Regency's cumulative total stockholder return to the S&amp;P 500 Index and the FTSE NAREIT Equity REIT Index since December 31, 2007. The stock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127635</wp:posOffset>
            </wp:positionV>
            <wp:extent cx="5831840" cy="3996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1840"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and unit data, number of properties, and ratio of earnings to fixed charges)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following table sets forth Selected Financial Data for the Company on a historical basis for the five years ended December 31, 2012. This historical Selected Financial Data has been derived from the audited consolidated financial statements as reclassified for discontinued operations. This information should be read in conjunction with the consolidated financial statements of Regency Centers Corporation and Regency Centers, L.P. (including the related notes thereto) and Management's Discussion and Analysis of the Financial Condition and Results of Operations, each included elsewhere in this Form 10-K.</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584"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Parent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2008</w:t>
            </w:r>
          </w:p>
        </w:tc>
      </w:tr>
      <w:tr>
        <w:trPr>
          <w:trHeight w:val="21"/>
        </w:trPr>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Data:</w:t>
            </w: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496,920</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493,098</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468,191</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470,593</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479,467</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321,258</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318,128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306,100</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294,802</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258,789</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Other expense</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185,740</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136,275</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147,434</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210,085</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117,061</w:t>
            </w:r>
          </w:p>
        </w:tc>
      </w:tr>
      <w:tr>
        <w:trPr>
          <w:trHeight w:val="163"/>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Income before equity in income (loss) of investments in real estate</w:t>
            </w: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94"/>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partnerships</w:t>
            </w:r>
          </w:p>
        </w:tc>
        <w:tc>
          <w:tcPr>
            <w:tcW w:w="3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(10,078)</w:t>
            </w:r>
          </w:p>
        </w:tc>
        <w:tc>
          <w:tcPr>
            <w:tcW w:w="1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38,695</w:t>
            </w: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14,657</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(34,294)</w:t>
            </w:r>
          </w:p>
        </w:tc>
        <w:tc>
          <w:tcPr>
            <w:tcW w:w="34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103,617</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Equity in income (loss) of investments in real estate partnerships</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23,807</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9,643</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(12,884)</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(26,373)</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5,292</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continuing operations before tax</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13,729</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48,338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(60,667)</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108,909</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Income tax expense (benefit) of taxable REIT subsidiary</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13,224</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2,994</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1,883</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(1,600)</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continuing operations</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45,344</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3,106</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(62,550)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110,509</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Income from discontinued operations</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23,546</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8,040</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8,902</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14,157</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16,629</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before gain on sale of real estate</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24,051</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53,384</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12,008</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(48,393)</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127,138</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Gain on sale of real estate</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19,357</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20,346</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26,209</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55,788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13,001</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(29,036)</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147,484</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interests</w:t>
            </w:r>
          </w:p>
        </w:tc>
        <w:tc>
          <w:tcPr>
            <w:tcW w:w="34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(4,418)</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(4,185)</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(3,961)</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(5,333)</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the Company</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25,867</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51,370</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8,816</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(32,997)</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142,151</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Preferred stock dividends</w:t>
            </w:r>
          </w:p>
        </w:tc>
        <w:tc>
          <w:tcPr>
            <w:tcW w:w="34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(32,531)</w:t>
            </w:r>
          </w:p>
        </w:tc>
        <w:tc>
          <w:tcPr>
            <w:tcW w:w="1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(19,675)</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(19,675)</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(19,675)</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(19,675)</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attributable to common stockholders</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(6,664)</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31,695</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(10,859)</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(52,672)</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122,476</w:t>
            </w:r>
          </w:p>
        </w:tc>
      </w:tr>
      <w:tr>
        <w:trPr>
          <w:trHeight w:val="176"/>
        </w:trPr>
        <w:tc>
          <w:tcPr>
            <w:tcW w:w="4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70"/>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Funds from operations </w:t>
            </w:r>
            <w:r>
              <w:rPr>
                <w:rFonts w:ascii="Arial" w:cs="Arial" w:eastAsia="Arial" w:hAnsi="Arial"/>
                <w:sz w:val="8"/>
                <w:szCs w:val="8"/>
                <w:color w:val="auto"/>
              </w:rPr>
              <w:t>(1)</w:t>
            </w:r>
          </w:p>
        </w:tc>
        <w:tc>
          <w:tcPr>
            <w:tcW w:w="34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222,100</w:t>
            </w:r>
          </w:p>
        </w:tc>
        <w:tc>
          <w:tcPr>
            <w:tcW w:w="12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220,318</w:t>
            </w: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151,321</w:t>
            </w:r>
          </w:p>
        </w:tc>
        <w:tc>
          <w:tcPr>
            <w:tcW w:w="1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85,758</w:t>
            </w:r>
          </w:p>
        </w:tc>
        <w:tc>
          <w:tcPr>
            <w:tcW w:w="34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263,848</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 xml:space="preserve">Core funds from operations </w:t>
            </w:r>
            <w:r>
              <w:rPr>
                <w:rFonts w:ascii="Arial" w:cs="Arial" w:eastAsia="Arial" w:hAnsi="Arial"/>
                <w:sz w:val="8"/>
                <w:szCs w:val="8"/>
                <w:color w:val="auto"/>
              </w:rPr>
              <w:t>(1)</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230,937</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213,148</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199,357</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207,971</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240,449</w:t>
            </w:r>
          </w:p>
        </w:tc>
      </w:tr>
      <w:tr>
        <w:trPr>
          <w:trHeight w:val="168"/>
        </w:trPr>
        <w:tc>
          <w:tcPr>
            <w:tcW w:w="4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264"/>
        </w:trPr>
        <w:tc>
          <w:tcPr>
            <w:tcW w:w="4780" w:type="dxa"/>
            <w:vAlign w:val="bottom"/>
          </w:tcPr>
          <w:p>
            <w:pPr>
              <w:ind w:left="40"/>
              <w:spacing w:after="0"/>
              <w:rPr>
                <w:sz w:val="20"/>
                <w:szCs w:val="20"/>
                <w:color w:val="auto"/>
              </w:rPr>
            </w:pPr>
            <w:r>
              <w:rPr>
                <w:rFonts w:ascii="Arial" w:cs="Arial" w:eastAsia="Arial" w:hAnsi="Arial"/>
                <w:sz w:val="14"/>
                <w:szCs w:val="14"/>
                <w:b w:val="1"/>
                <w:bCs w:val="1"/>
                <w:color w:val="auto"/>
              </w:rPr>
              <w:t>Income per Common Share - diluted:</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income from continuing operations</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(0.89)</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1.52</w:t>
            </w:r>
          </w:p>
        </w:tc>
      </w:tr>
      <w:tr>
        <w:trPr>
          <w:trHeight w:val="264"/>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from discontinued operations</w:t>
            </w:r>
          </w:p>
        </w:tc>
        <w:tc>
          <w:tcPr>
            <w:tcW w:w="3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0.11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0.19</w:t>
            </w:r>
          </w:p>
        </w:tc>
        <w:tc>
          <w:tcPr>
            <w:tcW w:w="3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0.24</w:t>
            </w:r>
          </w:p>
        </w:tc>
      </w:tr>
      <w:tr>
        <w:trPr>
          <w:trHeight w:val="243"/>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 income attributable to common stockholders</w:t>
            </w:r>
          </w:p>
        </w:tc>
        <w:tc>
          <w:tcPr>
            <w:tcW w:w="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(0.70)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1.76</w:t>
            </w:r>
          </w:p>
        </w:tc>
      </w:tr>
      <w:tr>
        <w:trPr>
          <w:trHeight w:val="20"/>
        </w:trPr>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Information:</w:t>
            </w: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257,215</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217,633</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138,459</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195,804</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211,314</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3,623</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(77,723)</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(184,457)</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51,545</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(105,006)</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(249,891)</w:t>
            </w:r>
          </w:p>
        </w:tc>
        <w:tc>
          <w:tcPr>
            <w:tcW w:w="1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(145,569)</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(32,797)</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(164,279)</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(105,144)</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paid to common stockholders</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164,747</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160,478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149,117</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159,670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199,528</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Common dividends declared per share</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2.11</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2.90</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Common stock outstanding including exchangeable operating partnership units</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90,572</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90,099</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81,717</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81,670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70,091</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 xml:space="preserve">Ratio of earnings to fixed charges </w:t>
            </w:r>
            <w:r>
              <w:rPr>
                <w:rFonts w:ascii="Arial" w:cs="Arial" w:eastAsia="Arial" w:hAnsi="Arial"/>
                <w:sz w:val="8"/>
                <w:szCs w:val="8"/>
                <w:color w:val="auto"/>
              </w:rPr>
              <w:t>(3)</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0.8</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(2)</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1.6</w:t>
            </w:r>
          </w:p>
        </w:tc>
      </w:tr>
      <w:tr>
        <w:trPr>
          <w:trHeight w:val="141"/>
        </w:trPr>
        <w:tc>
          <w:tcPr>
            <w:tcW w:w="4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264"/>
        </w:trPr>
        <w:tc>
          <w:tcPr>
            <w:tcW w:w="478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 investments before accumulated depreciation</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4,352,839</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4,488,794</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4,417,746</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4,259,990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4,425,895</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3,853,458</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3,987,071</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3,994,539</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3,992,228</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4,158,568</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debt</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1,941,891</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1,982,440</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2,094,469</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1,886,380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2,135,571</w:t>
            </w:r>
          </w:p>
        </w:tc>
      </w:tr>
      <w:tr>
        <w:trPr>
          <w:trHeight w:val="264"/>
        </w:trPr>
        <w:tc>
          <w:tcPr>
            <w:tcW w:w="478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2,107,547</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2,117,417</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2,250,137</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2,061,621</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2,416,824</w:t>
            </w:r>
          </w:p>
        </w:tc>
      </w:tr>
      <w:tr>
        <w:trPr>
          <w:trHeight w:val="27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1,730,765</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1,808,355</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1,685,177</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1,862,380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1,676,323</w:t>
            </w:r>
          </w:p>
        </w:tc>
      </w:tr>
      <w:tr>
        <w:trPr>
          <w:trHeight w:val="258"/>
        </w:trPr>
        <w:tc>
          <w:tcPr>
            <w:tcW w:w="478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34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15,146</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61,299</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59,225</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68,227</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65,421</w:t>
            </w:r>
          </w:p>
        </w:tc>
      </w:tr>
    </w:tbl>
    <w:p>
      <w:pPr>
        <w:spacing w:after="0" w:line="2" w:lineRule="exact"/>
        <w:rPr>
          <w:sz w:val="20"/>
          <w:szCs w:val="20"/>
          <w:color w:val="auto"/>
        </w:rPr>
      </w:pPr>
    </w:p>
    <w:p>
      <w:pPr>
        <w:ind w:right="20" w:firstLine="8"/>
        <w:spacing w:after="0" w:line="299" w:lineRule="auto"/>
        <w:tabs>
          <w:tab w:leader="none" w:pos="15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FFO is a commonly used measure of REIT performance, which the National Association of Real Estate Investment Trusts ("NAREIT") defines as net income, computed in accordance with GAAP, excluding gains and losses from sales of depreciable property, net of tax, excluding operating real estate impairments, plus depreciation and amortization, and after adjustments for unconsolidated partnerships and joint ventures. Core FFO represents FFO, excluding, but not limited to, transaction income or expense, gains or losses from the early extinguishment of debt, development and outparcel gains or losses and other non-core items. See Supplemental Earnings Information within Item 7 for additional information and a reconciliation to the nearest GAAP measure.</w:t>
      </w:r>
    </w:p>
    <w:p>
      <w:pPr>
        <w:spacing w:after="0" w:line="157" w:lineRule="exact"/>
        <w:rPr>
          <w:rFonts w:ascii="Arial" w:cs="Arial" w:eastAsia="Arial" w:hAnsi="Arial"/>
          <w:sz w:val="17"/>
          <w:szCs w:val="17"/>
          <w:color w:val="auto"/>
          <w:vertAlign w:val="superscript"/>
        </w:rPr>
      </w:pPr>
    </w:p>
    <w:p>
      <w:pPr>
        <w:ind w:right="500" w:firstLine="8"/>
        <w:spacing w:after="0" w:line="234" w:lineRule="auto"/>
        <w:tabs>
          <w:tab w:leader="none" w:pos="167"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The Company's ratio of earnings to fixed charges was deficient in 2009 by $26.2 million in earnings, due to significant non-cash charges for impairment of real estate investments of $97.5 million.</w:t>
      </w:r>
    </w:p>
    <w:p>
      <w:pPr>
        <w:ind w:left="180" w:hanging="172"/>
        <w:spacing w:after="0" w:line="201"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See Exhibit 12.1 for additional information regarding the computation of ratio of earnings to fixed charges.</w:t>
      </w:r>
    </w:p>
    <w:p>
      <w:pPr>
        <w:sectPr>
          <w:pgSz w:w="11900" w:h="16838" w:orient="portrait"/>
          <w:cols w:equalWidth="0" w:num="1">
            <w:col w:w="11420"/>
          </w:cols>
          <w:pgMar w:left="240" w:top="584"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Operating Partnership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2008</w:t>
            </w:r>
          </w:p>
        </w:tc>
      </w:tr>
      <w:tr>
        <w:trPr>
          <w:trHeight w:val="21"/>
        </w:trPr>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Data:</w:t>
            </w: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Revenues</w:t>
            </w:r>
          </w:p>
        </w:tc>
        <w:tc>
          <w:tcPr>
            <w:tcW w:w="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496,920</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493,098</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468,191</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470,593</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479,467</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expenses</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321,258</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318,128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306,100</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294,802</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258,789</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Other expense</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185,740</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136,275</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147,434</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210,085</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117,061</w:t>
            </w:r>
          </w:p>
        </w:tc>
      </w:tr>
      <w:tr>
        <w:trPr>
          <w:trHeight w:val="163"/>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(Loss) income before equity in income (loss) of investments in real estate</w:t>
            </w: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94"/>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partnerships</w:t>
            </w:r>
          </w:p>
        </w:tc>
        <w:tc>
          <w:tcPr>
            <w:tcW w:w="5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(10,078)</w:t>
            </w:r>
          </w:p>
        </w:tc>
        <w:tc>
          <w:tcPr>
            <w:tcW w:w="1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38,695</w:t>
            </w: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14,657</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(34,294)</w:t>
            </w:r>
          </w:p>
        </w:tc>
        <w:tc>
          <w:tcPr>
            <w:tcW w:w="34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103,617</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Equity in income (loss) of investments in real estate partnerships</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23,807</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9,643</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(12,884)</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(26,373)</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5,292</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continuing operations before tax</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13,729</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48,338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(60,667)</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108,909</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Income tax expense (benefit) of taxable REIT subsidiary</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13,224</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2,994</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1,883</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(1,600)</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continuing operations</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45,344</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3,106</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(62,550)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110,509</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Income from discontinued operations</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23,546</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8,040</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8,902</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14,157</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16,629</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before gain on sale of real estate</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24,051</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53,384</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12,008</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(48,393)</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127,138</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Gain on sale of real estate</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19,357</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20,346</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26,209</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55,788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13,001</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(29,036)</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147,484</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interests</w:t>
            </w:r>
          </w:p>
        </w:tc>
        <w:tc>
          <w:tcPr>
            <w:tcW w:w="5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(452)</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(701)</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the Partnership</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25,344</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55,198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12,625</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(29,488)</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146,783</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Preferred unit distributions</w:t>
            </w:r>
          </w:p>
        </w:tc>
        <w:tc>
          <w:tcPr>
            <w:tcW w:w="5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(31,902)</w:t>
            </w:r>
          </w:p>
        </w:tc>
        <w:tc>
          <w:tcPr>
            <w:tcW w:w="1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(23,400)</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(23,400)</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(23,400)</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(23,400)</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attributable to common unit holders</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(6,558)</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31,798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(10,775)</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(52,888)</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123,383</w:t>
            </w:r>
          </w:p>
        </w:tc>
      </w:tr>
      <w:tr>
        <w:trPr>
          <w:trHeight w:val="16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70"/>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Funds from operations </w:t>
            </w:r>
            <w:r>
              <w:rPr>
                <w:rFonts w:ascii="Arial" w:cs="Arial" w:eastAsia="Arial" w:hAnsi="Arial"/>
                <w:sz w:val="8"/>
                <w:szCs w:val="8"/>
                <w:color w:val="auto"/>
              </w:rPr>
              <w:t>(1)</w:t>
            </w:r>
          </w:p>
        </w:tc>
        <w:tc>
          <w:tcPr>
            <w:tcW w:w="52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222,100</w:t>
            </w:r>
          </w:p>
        </w:tc>
        <w:tc>
          <w:tcPr>
            <w:tcW w:w="12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220,318</w:t>
            </w: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151,321</w:t>
            </w:r>
          </w:p>
        </w:tc>
        <w:tc>
          <w:tcPr>
            <w:tcW w:w="1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85,758</w:t>
            </w:r>
          </w:p>
        </w:tc>
        <w:tc>
          <w:tcPr>
            <w:tcW w:w="34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263,848</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 xml:space="preserve">Core funds from operations </w:t>
            </w:r>
            <w:r>
              <w:rPr>
                <w:rFonts w:ascii="Arial" w:cs="Arial" w:eastAsia="Arial" w:hAnsi="Arial"/>
                <w:sz w:val="8"/>
                <w:szCs w:val="8"/>
                <w:color w:val="auto"/>
              </w:rPr>
              <w:t>(1)</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230,937</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213,148</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199,357</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207,971</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240,449</w:t>
            </w:r>
          </w:p>
        </w:tc>
      </w:tr>
      <w:tr>
        <w:trPr>
          <w:trHeight w:val="141"/>
        </w:trPr>
        <w:tc>
          <w:tcPr>
            <w:tcW w:w="4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Income per common unit - diluted:</w:t>
            </w: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income from continuing operations</w:t>
            </w:r>
          </w:p>
        </w:tc>
        <w:tc>
          <w:tcPr>
            <w:tcW w:w="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(0.89)</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1.52</w:t>
            </w:r>
          </w:p>
        </w:tc>
      </w:tr>
      <w:tr>
        <w:trPr>
          <w:trHeight w:val="264"/>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from discontinued operations</w:t>
            </w:r>
          </w:p>
        </w:tc>
        <w:tc>
          <w:tcPr>
            <w:tcW w:w="5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0.11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0.19</w:t>
            </w:r>
          </w:p>
        </w:tc>
        <w:tc>
          <w:tcPr>
            <w:tcW w:w="3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0.24</w:t>
            </w:r>
          </w:p>
        </w:tc>
      </w:tr>
      <w:tr>
        <w:trPr>
          <w:trHeight w:val="243"/>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 income attributable to common unit holders</w:t>
            </w:r>
          </w:p>
        </w:tc>
        <w:tc>
          <w:tcPr>
            <w:tcW w:w="5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(0.70)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1.76</w:t>
            </w:r>
          </w:p>
        </w:tc>
      </w:tr>
      <w:tr>
        <w:trPr>
          <w:trHeight w:val="20"/>
        </w:trPr>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7"/>
        </w:trPr>
        <w:tc>
          <w:tcPr>
            <w:tcW w:w="4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70"/>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Information:</w:t>
            </w: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257,215</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217,633</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138,459</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195,804</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211,314</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provided by (used in) investing activities</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3,623</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(77,723)</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(184,457)</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51,545</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(105,006)</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Net cash used in financing activities</w:t>
            </w:r>
          </w:p>
        </w:tc>
        <w:tc>
          <w:tcPr>
            <w:tcW w:w="5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(249,891)</w:t>
            </w:r>
          </w:p>
        </w:tc>
        <w:tc>
          <w:tcPr>
            <w:tcW w:w="12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(145,569)</w:t>
            </w:r>
          </w:p>
        </w:tc>
        <w:tc>
          <w:tcPr>
            <w:tcW w:w="12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(32,797)</w:t>
            </w:r>
          </w:p>
        </w:tc>
        <w:tc>
          <w:tcPr>
            <w:tcW w:w="1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(164,279)</w:t>
            </w:r>
          </w:p>
        </w:tc>
        <w:tc>
          <w:tcPr>
            <w:tcW w:w="34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(105,144)</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paid on common units</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164,747</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160,478</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149,117</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159,670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199,528</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 xml:space="preserve">Ratio of earnings to fixed charges </w:t>
            </w:r>
            <w:r>
              <w:rPr>
                <w:rFonts w:ascii="Arial" w:cs="Arial" w:eastAsia="Arial" w:hAnsi="Arial"/>
                <w:sz w:val="8"/>
                <w:szCs w:val="8"/>
                <w:color w:val="auto"/>
              </w:rPr>
              <w:t>(3)</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0.8</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(2)</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1.6</w:t>
            </w:r>
          </w:p>
        </w:tc>
      </w:tr>
      <w:tr>
        <w:trPr>
          <w:trHeight w:val="141"/>
        </w:trPr>
        <w:tc>
          <w:tcPr>
            <w:tcW w:w="4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 investments before accumulated depreciation</w:t>
            </w:r>
          </w:p>
        </w:tc>
        <w:tc>
          <w:tcPr>
            <w:tcW w:w="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4,352,839</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4,488,794</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4,417,746</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4,259,990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4,425,895</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3,853,458</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3,987,071</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3,994,539</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3,992,228</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4,158,568</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debt</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1,941,891</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1,982,440</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2,094,469</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1,886,380</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2,135,571</w:t>
            </w:r>
          </w:p>
        </w:tc>
      </w:tr>
      <w:tr>
        <w:trPr>
          <w:trHeight w:val="264"/>
        </w:trPr>
        <w:tc>
          <w:tcPr>
            <w:tcW w:w="460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2,107,547</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2,117,417</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2,250,137</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2,061,621</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2,416,824</w:t>
            </w:r>
          </w:p>
        </w:tc>
      </w:tr>
      <w:tr>
        <w:trPr>
          <w:trHeight w:val="276"/>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Partners' capital</w:t>
            </w:r>
          </w:p>
        </w:tc>
        <w:tc>
          <w:tcPr>
            <w:tcW w:w="5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1,729,612</w:t>
            </w:r>
          </w:p>
        </w:tc>
        <w:tc>
          <w:tcPr>
            <w:tcW w:w="1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1,856,550</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1,733,573</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1,918,859</w:t>
            </w:r>
          </w:p>
        </w:tc>
        <w:tc>
          <w:tcPr>
            <w:tcW w:w="34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1,733,764</w:t>
            </w:r>
          </w:p>
        </w:tc>
      </w:tr>
      <w:tr>
        <w:trPr>
          <w:trHeight w:val="258"/>
        </w:trPr>
        <w:tc>
          <w:tcPr>
            <w:tcW w:w="460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5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16,299</w:t>
            </w: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13,104</w:t>
            </w:r>
          </w:p>
        </w:tc>
        <w:tc>
          <w:tcPr>
            <w:tcW w:w="12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10,829</w:t>
            </w: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11,748</w:t>
            </w:r>
          </w:p>
        </w:tc>
        <w:tc>
          <w:tcPr>
            <w:tcW w:w="3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7,980</w:t>
            </w:r>
          </w:p>
        </w:tc>
      </w:tr>
    </w:tbl>
    <w:p>
      <w:pPr>
        <w:spacing w:after="0" w:line="2" w:lineRule="exact"/>
        <w:rPr>
          <w:sz w:val="20"/>
          <w:szCs w:val="20"/>
          <w:color w:val="auto"/>
        </w:rPr>
      </w:pPr>
    </w:p>
    <w:p>
      <w:pPr>
        <w:ind w:right="20" w:firstLine="8"/>
        <w:spacing w:after="0" w:line="299" w:lineRule="auto"/>
        <w:tabs>
          <w:tab w:leader="none" w:pos="153"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FFO is a commonly used measure of REIT performance, which the National Association of Real Estate Investment Trusts ("NAREIT") defines as net income, computed in accordance with GAAP, excluding gains and losses from sales of depreciable property, net of tax, excluding operating real estate impairments, plus depreciation and amortization, and after adjustments for unconsolidated partnerships and joint ventures. Core FFO represents FFO, excluding, but not limited to, transaction income or expense, gains or losses from the early extinguishment of debt, development and outparcel gains or losses and other non-core items. See Supplemental Earnings Information within Item 7 for additional information and a reconciliation to the nearest GAAP measure.</w:t>
      </w:r>
    </w:p>
    <w:p>
      <w:pPr>
        <w:spacing w:after="0" w:line="157" w:lineRule="exact"/>
        <w:rPr>
          <w:rFonts w:ascii="Arial" w:cs="Arial" w:eastAsia="Arial" w:hAnsi="Arial"/>
          <w:sz w:val="17"/>
          <w:szCs w:val="17"/>
          <w:color w:val="auto"/>
          <w:vertAlign w:val="superscript"/>
        </w:rPr>
      </w:pPr>
    </w:p>
    <w:p>
      <w:pPr>
        <w:ind w:right="520" w:firstLine="8"/>
        <w:spacing w:after="0" w:line="265" w:lineRule="auto"/>
        <w:tabs>
          <w:tab w:leader="none" w:pos="153"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The Company's ratio of earnings to fixed charges was deficient in 2009 by $26.2 million in earnings, due to significant non-cash charges for impairment of real estate investments of $97.5 million.</w:t>
      </w:r>
    </w:p>
    <w:p>
      <w:pPr>
        <w:ind w:left="180" w:hanging="172"/>
        <w:spacing w:after="0" w:line="201" w:lineRule="auto"/>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See Exhibit 12.1 for additional information regarding the computation of ratio of earnings to fixed charges.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84"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Regency Centers Corporation began its operations as a REIT in 1993 and is the managing general partner in Regency Centers, L.P. We endeavor to be the preeminent, best-in-class national shopping center company distinguished by sustaining growth in shareholder value and compounding total shareholder return in excess of our peers. We work to achieve these goals through reliable growth in net operating income from a portfolio of dominant, infill shopping centers, balance sheet strength, value-added development capabilities and an engaged team of talented and dedicated people. All of our operating, investing, and financing activities are performed through the Operating Partnership, its wholly-owned subsidiaries, and through its investments in real estate partnerships with third parties (also referred to as "co-investment partnerships" or "joint ventures"). The Parent Company currently owns approximately 99.8% of the outstanding common partnership units of the Operating Partnership.</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At December 31, 2012, we directly owned 204 shopping centers (the “Consolidated Properties”) located in 24 states representing 22.5 million square feet of gross leasable area (“GLA”). Through co-investment partnerships, we own partial ownership interests in 144 shopping centers (the “Unconsolidated Properties”) located in 24 states and the District of Columbia representing 17.8 million square feet of GLA.</w:t>
      </w:r>
    </w:p>
    <w:p>
      <w:pPr>
        <w:spacing w:after="0" w:line="12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earn revenues and generate cash flow by leasing space in our shopping centers to grocery stores, major retail anchors, restaurants, side-shop retailers, and service providers, as well as by ground leasing or selling building pads ("out-parcels") to these same types of tenants. We experience growth in revenues by increasing occupancy and rental rates in our existing shopping centers and by acquiring and developing new shopping centers. At December 31, 2012, the consolidated shopping centers were 94.1% leased, as compared to 92.2% at December 31, 2011.</w:t>
      </w:r>
    </w:p>
    <w:p>
      <w:pPr>
        <w:spacing w:after="0" w:line="11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monitor the operating performance and rent collections of all tenants in our shopping centers, especially those tenants operating retail formats that are experiencing significant changes in competition, business practice, and store closings in other locations. We also evaluate consumer preferences, shopping behaviors, and demographics to anticipate both challenges and opportunities in the changing retail industry that may affect our tenants.</w:t>
      </w:r>
    </w:p>
    <w:p>
      <w:pPr>
        <w:spacing w:after="0" w:line="9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grow our shopping center portfolio through acquisitions of operating centers and new shopping center development. We will continue to use our development capabilities, market presence, and anchor relationships to invest in value-added new developments and redevelopments of existing centers. Development is customer driven, meaning we generally have an executed lease from the anchor before we start construction. Developments serve the growth needs of our anchors and retailers, resulting in modern shopping centers with long-term anchor leases that produce attractive returns on our invested capital. This development process typically requires two to three years once construction has commenced, but can vary subject to the size and complexity of the project. We fund our acquisition and development activity from various capital sources including property sales, equity offerings, and new debt.</w:t>
      </w:r>
    </w:p>
    <w:p>
      <w:pPr>
        <w:spacing w:after="0" w:line="1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Co-investment partnerships provide us with an additional capital source for shopping center acquisitions, as well as the opportunity to earn fees for asset management, property management, and other investing and financing services. As asset manager, we are engaged by our partners to apply similar operating, investment and capital strategies to the portfolios owned by the co-investment partnerships as those applied to the portfolio that we wholly-own. Co-investment partnerships grow their shopping center investments through acquisitions from third parties or direct purchases from us. Although selling properties to co-investment partnerships reduces our direct ownership interest, it provides a source of capital that further strengthens our balance sheet while we continue to share, to the extent of our ownership interest, in the risks and rewards of shopping centers that meet our high quality standards and long-term investment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6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Knowledge about our accounting policies is necessary for a complete understanding of our financial statements. The preparation of our financial statements requires that we make certain estimates that impact the balance of assets and liabilities at a financial statement date and the reported amount of income and expenses during a financial reporting period. These accounting estimates are based upon, but not limited to, our judgments about historical results, current economic activity, and industry accounting standards. They are considered to be critical because of their significance to the financial statements and the possibility that future events may differ from those judgments, or that the use of different assumptions could result in materially different estimates. We review these estimates on a periodic basis to ensure reasonableness; however, the amounts we may ultimately realize could differ from such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Minimum rent, percentage rent, and expense recoveries from tenants for common area maintenance costs, insurance and real estate taxes are the Company's principal source of revenue. As a result of generating this revenue, we will routinely have accounts receivable due from tenants. We are subject to tenant defaults and bankruptcies that may affect the collection of outstanding receivables. To address the collectability of these receivables, we analyze historical write-off experience, tenant credit-worthiness and current economic trends when evaluating the adequacy of our allowance for doubtful accounts. Although we estimate uncollectible receivables and provide for them through charges against income, actual experience may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Real Estate Investments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acquisition of real estate operating properties, the Company estimates the fair value of acquired tangible assets (consisting of land, building, building improvements and tenant improvements) and identified intangible assets and liabilities (consisting of above and below-market leases, in-place leases and tenant relationships), assumed debt, and any noncontrolling interest in the acquiree at the date of acquisition, based on evaluation of information and estimates available at that date. Based on these estimates, the Company allocates the estimated fair value to the applicable assets and liabilities. Fair value is determined based on an exit price approach, which contemplates the price that would be received to sell an asset or paid to transfer a liability in an orderly transaction between market participants at the measurement date. If, up to one year from the acquisition date, information regarding fair value of the assets acquired and liabilities assumed is received and estimates are refined, appropriate adjustments are made to the purchase price allocation on a retrospective basis. The Company expenses transaction costs associated with business combinations in the period incurred.</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strategically invest in entities that own, manage, acquire, develop and redevelop operating properties. We analyze our investments in real estate partnerships in order to determine whether the entity should be consolidated. If it is determined that these investments do not require consolidation because the entities are not variable interest entities (“VIEs”), we are not considered the primary beneficiary of the entities determined to be VIEs, we do not have voting control, and/or the limited partners (or non-managing members) have substantive participatory rights, then the selection of the accounting method used to account for our investments in real estate partnerships is generally determined by our voting interests and the degree of influence we have over the entity. Management uses its judgment when making these determinations. We use the equity method of accounting for investments in real estate partnerships when we own 20% or more of the voting interests and have significant influence but do not have a controlling financial interest, or if we own less than 20% of the voting interests but have determined that we have significant influence. Under the equity method, we record our investments in and advances to these entities in our consolidated balance sheets, and our proportionate share of earnings or losses earned by the joint venture is recognized in equity in income (loss) of investments in real estate partnerships in our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Real Estate Assets and Cost Capitalization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capitalize the acquisition of land, the construction of buildings and other specifically identifiable development costs incurred by recording them into properties in development in our accompanying Consolidated Balance Sheets. Once a development property is substantially complete and held available for occupancy, costs are no longer capitalized. Other specifically identifiable development costs include pre-development costs essential to the development process, as well as, interest, real estate taxes, and direct employee costs incurred during the development period. Pre-development costs are incurred prior to land acquisition during the due diligence phase and include contract deposits, legal, engineering, and other professional fees related to evaluating the feasibility of developing a shopping center. At December 31, 2012 and 2011, the Company had capitalized pre-development costs of $3.5 million and $2.1 million, respectively, of which $2.3 million and $1.0 million, respectively, were refundable deposits. If we determine it is probable that a specific project undergoing due diligence will not be developed, we immediately expense all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40" w:name="page41"/>
    <w:bookmarkEnd w:id="40"/>
    <w:p>
      <w:pPr>
        <w:jc w:val="both"/>
        <w:spacing w:after="0" w:line="270" w:lineRule="auto"/>
        <w:rPr>
          <w:sz w:val="20"/>
          <w:szCs w:val="20"/>
          <w:color w:val="auto"/>
        </w:rPr>
      </w:pPr>
      <w:r>
        <w:rPr>
          <w:rFonts w:ascii="Arial" w:cs="Arial" w:eastAsia="Arial" w:hAnsi="Arial"/>
          <w:sz w:val="17"/>
          <w:szCs w:val="17"/>
          <w:color w:val="auto"/>
        </w:rPr>
        <w:t>related capitalized pre-development costs not considered recoverable. During the years ended December 31, 2012, 2011, and 2010, we expensed pre-development costs of approximately $1.5 million, $241,000, and $520,000, respectively, recorded in other expenses in the accompanying Consolidated Statements of Operations. Interest costs are capitalized into each development project based on applying our weighted average borrowing rate to that portion of the actual development costs expended. We cease interest cost capitalization when the property is no longer being developed or is available for occupancy upon substantial completion of tenant improvements, but in no event would we capitalize interest on the project beyond 12 months after substantial completion of the building shell. During the years ended December 31, 2012, 2011, and 2010, we capitalized interest of $3.7 million, $1.5 million, and $5.1 million, respectively, on our development projects. We have a staff of employees who directly support our development program. All direct internal costs attributable to these development activities are capitalized as part of each development project. During the years ended December 31, 2012, 2011, and 2010, we capitalized $10.3 million, $5.5 million, and $2.7 million, respectively, of direct internal costs incurred to support our development program. The capitalization of costs is directly related to the actual level of development activity occurring.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Real Estate Investments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evaluate whether there are any indicators that have occurred, including property operating performance and general market conditions, that would result in us determining that the carrying value of our real estate properties (including any related amortizable intangible assets or liabilities) may not be recoverable. If such indicators occur, we compare the current carrying value of the asset to the estimated undiscounted cash flows that are directly associated with the use and ultimate disposition of the asset. Our estimated cash flows are based on several key assumptions, including rental rates, costs of tenant improvements, leasing commissions, anticipated hold period, and assumptions regarding the residual value upon disposition, including the exit capitalization rate. These key assumptions are subjective in nature and the resulting impairment, if any, could differ from the actual gain or loss recognized upon ultimate sale in an arms length transaction. If the carrying value of the asset exceeds the estimated undiscounted cash flows, an impairment loss is recognized equal to the excess of carrying value over fair value. Changes in our disposition strategy or changes in the marketplace may alter the hold period of an asset or asset group, which may result in an impairment loss and such loss could be material to the Company's financial condition or operating performance.</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evaluate our investments in real estate partnerships for impairment whenever there are indicators, including underlying property operating performance and general market conditions, that the value of our investments in real estate partnerships may be impaired. An investment in a real estate partnerships is considered impaired only if we determine that its fair value is less than the net carrying value of the investment in that real estate partnerships on an other-than-temporary basis. Cash flow projections for the investments consider property level factors such as expected future operating income, trends and prospects, as well as the effects of demand, competition and other factors. We consider various qualitative factors to determine if a decrease in the value of our investment is other-than-temporary. These factors include the age of the real estate partnerships, our intent and ability to retain our investment in the entity, the financial condition and long-term prospects of the entity and relationships with our partners and banks. If we believe that the decline in the fair value of the investment is temporary, no impairment charge is recorded. If our analysis indicates that there is an other-than-temporary impairment related to the investment in a particular real estate partnerships, the carrying value of the investment will be adjusted to an amount that reflects the estimated fair value of the investment.</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fair value of real estate investments is highly subjective and is determined through comparable sales information and other market data if available, or through use of an income approach such as the direct capitalization or the traditional discounted cash flow methods. Such cash flow projections consider factors such as expected future operating income, trends and prospects, as well as the effects of demand, competition and other factors, and therefore are subject to a significant degree of management judgment and changes in those factors could impact the determination of fair value. In estimating the fair value of undeveloped land, we generally use market data and comparable sales information.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Shopping Center Portfolio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general information related to the Consolidated Properties in our shopping center portfolio (GLA in thousands):</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840" w:type="dxa"/>
            <w:vAlign w:val="bottom"/>
          </w:tcPr>
          <w:p>
            <w:pPr>
              <w:jc w:val="right"/>
              <w:ind w:right="45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4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2011</w:t>
            </w: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Properties</w:t>
            </w:r>
          </w:p>
        </w:tc>
        <w:tc>
          <w:tcPr>
            <w:tcW w:w="16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217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Properties in Development</w:t>
            </w:r>
          </w:p>
        </w:tc>
        <w:tc>
          <w:tcPr>
            <w:tcW w:w="1660" w:type="dxa"/>
            <w:vAlign w:val="bottom"/>
          </w:tcPr>
          <w:p>
            <w:pPr>
              <w:jc w:val="right"/>
              <w:ind w:right="9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40" w:type="dxa"/>
            <w:vAlign w:val="bottom"/>
          </w:tcPr>
          <w:p>
            <w:pPr>
              <w:jc w:val="right"/>
              <w:ind w:right="115"/>
              <w:spacing w:after="0"/>
              <w:rPr>
                <w:sz w:val="20"/>
                <w:szCs w:val="20"/>
                <w:color w:val="auto"/>
              </w:rPr>
            </w:pPr>
            <w:r>
              <w:rPr>
                <w:rFonts w:ascii="Arial" w:cs="Arial" w:eastAsia="Arial" w:hAnsi="Arial"/>
                <w:sz w:val="18"/>
                <w:szCs w:val="18"/>
                <w:color w:val="auto"/>
              </w:rPr>
              <w:t>7</w:t>
            </w:r>
          </w:p>
        </w:tc>
      </w:tr>
      <w:tr>
        <w:trPr>
          <w:trHeight w:val="27"/>
        </w:trPr>
        <w:tc>
          <w:tcPr>
            <w:tcW w:w="4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Leasable Area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 Leased – Operating and Development</w:t>
            </w:r>
          </w:p>
        </w:tc>
        <w:tc>
          <w:tcPr>
            <w:tcW w:w="166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7"/>
        </w:trPr>
        <w:tc>
          <w:tcPr>
            <w:tcW w:w="4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Leased – Operating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7"/>
        </w:trPr>
        <w:tc>
          <w:tcPr>
            <w:tcW w:w="44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general information related to the Unconsolidated Properties owned in co-investment partnerships in our shopping center portfolio, excluding the properties held by BRET (GLA in thousands):</w:t>
      </w:r>
    </w:p>
    <w:p>
      <w:pPr>
        <w:spacing w:after="0" w:line="9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98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31,</w:t>
            </w:r>
          </w:p>
        </w:tc>
        <w:tc>
          <w:tcPr>
            <w:tcW w:w="1880" w:type="dxa"/>
            <w:vAlign w:val="bottom"/>
          </w:tcPr>
          <w:p>
            <w:pPr>
              <w:jc w:val="right"/>
              <w:ind w:right="4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3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2011</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Properties</w:t>
            </w:r>
          </w:p>
        </w:tc>
        <w:tc>
          <w:tcPr>
            <w:tcW w:w="1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147</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Gross Leasable Area</w:t>
            </w:r>
          </w:p>
        </w:tc>
        <w:tc>
          <w:tcPr>
            <w:tcW w:w="1860" w:type="dxa"/>
            <w:vAlign w:val="bottom"/>
          </w:tcPr>
          <w:p>
            <w:pPr>
              <w:jc w:val="right"/>
              <w:ind w:right="97"/>
              <w:spacing w:after="0"/>
              <w:rPr>
                <w:sz w:val="20"/>
                <w:szCs w:val="20"/>
                <w:color w:val="auto"/>
              </w:rPr>
            </w:pPr>
            <w:r>
              <w:rPr>
                <w:rFonts w:ascii="Arial" w:cs="Arial" w:eastAsia="Arial" w:hAnsi="Arial"/>
                <w:sz w:val="18"/>
                <w:szCs w:val="18"/>
                <w:color w:val="auto"/>
              </w:rPr>
              <w:t>17,762</w:t>
            </w:r>
          </w:p>
        </w:tc>
        <w:tc>
          <w:tcPr>
            <w:tcW w:w="120" w:type="dxa"/>
            <w:vAlign w:val="bottom"/>
          </w:tcPr>
          <w:p>
            <w:pPr>
              <w:spacing w:after="0"/>
              <w:rPr>
                <w:sz w:val="21"/>
                <w:szCs w:val="21"/>
                <w:color w:val="auto"/>
              </w:rPr>
            </w:pPr>
          </w:p>
        </w:tc>
        <w:tc>
          <w:tcPr>
            <w:tcW w:w="1880" w:type="dxa"/>
            <w:vAlign w:val="bottom"/>
          </w:tcPr>
          <w:p>
            <w:pPr>
              <w:jc w:val="right"/>
              <w:ind w:right="117"/>
              <w:spacing w:after="0"/>
              <w:rPr>
                <w:sz w:val="20"/>
                <w:szCs w:val="20"/>
                <w:color w:val="auto"/>
              </w:rPr>
            </w:pPr>
            <w:r>
              <w:rPr>
                <w:rFonts w:ascii="Arial" w:cs="Arial" w:eastAsia="Arial" w:hAnsi="Arial"/>
                <w:sz w:val="18"/>
                <w:szCs w:val="18"/>
                <w:color w:val="auto"/>
              </w:rPr>
              <w:t>18,399</w:t>
            </w:r>
          </w:p>
        </w:tc>
      </w:tr>
      <w:tr>
        <w:trPr>
          <w:trHeight w:val="27"/>
        </w:trPr>
        <w:tc>
          <w:tcPr>
            <w:tcW w:w="4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Leased – Operating</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4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seek to reduce our operating and leasing risks through geographic diversification, avoiding dependence on any single property, market, or tenant, and owning a portion of our shopping centers through co-investment partnerships.</w:t>
      </w:r>
    </w:p>
    <w:p>
      <w:pPr>
        <w:spacing w:after="0" w:line="11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leasing activity for the year ended December 31, 2012, including Regency's pro-rata share of activity within the portfolio of our co-investment partnerships, except for the BRET portfolio:</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Tenant Improvements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Leasing Commissions</w:t>
            </w:r>
          </w:p>
        </w:tc>
      </w:tr>
      <w:tr>
        <w:trPr>
          <w:trHeight w:val="234"/>
        </w:trPr>
        <w:tc>
          <w:tcPr>
            <w:tcW w:w="174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b w:val="1"/>
                <w:bCs w:val="1"/>
                <w:color w:val="auto"/>
                <w:w w:val="93"/>
              </w:rPr>
              <w:t>Leasing Transactions</w:t>
            </w: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GLA (in thousands)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Base Rent / SF</w:t>
            </w:r>
          </w:p>
        </w:tc>
        <w:tc>
          <w:tcPr>
            <w:tcW w:w="19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 SF</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 SF</w:t>
            </w:r>
          </w:p>
        </w:tc>
      </w:tr>
      <w:tr>
        <w:trPr>
          <w:trHeight w:val="27"/>
        </w:trPr>
        <w:tc>
          <w:tcPr>
            <w:tcW w:w="17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leases</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695</w:t>
            </w:r>
          </w:p>
        </w:tc>
        <w:tc>
          <w:tcPr>
            <w:tcW w:w="19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2,143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$19.68</w:t>
            </w:r>
          </w:p>
        </w:tc>
        <w:tc>
          <w:tcPr>
            <w:tcW w:w="19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3"/>
              </w:rPr>
              <w:t>$4.33</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$7.70</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Renewals</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1,105</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3"/>
              </w:rPr>
              <w:t>2,967</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$18.27</w:t>
            </w:r>
          </w:p>
        </w:tc>
        <w:tc>
          <w:tcPr>
            <w:tcW w:w="1960" w:type="dxa"/>
            <w:vAlign w:val="bottom"/>
          </w:tcPr>
          <w:p>
            <w:pPr>
              <w:jc w:val="center"/>
              <w:ind w:left="90"/>
              <w:spacing w:after="0"/>
              <w:rPr>
                <w:sz w:val="20"/>
                <w:szCs w:val="20"/>
                <w:color w:val="auto"/>
              </w:rPr>
            </w:pPr>
            <w:r>
              <w:rPr>
                <w:rFonts w:ascii="Arial" w:cs="Arial" w:eastAsia="Arial" w:hAnsi="Arial"/>
                <w:sz w:val="18"/>
                <w:szCs w:val="18"/>
                <w:color w:val="auto"/>
                <w:w w:val="93"/>
              </w:rPr>
              <w:t>$0.32</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$2.15</w:t>
            </w:r>
          </w:p>
        </w:tc>
      </w:tr>
      <w:tr>
        <w:trPr>
          <w:trHeight w:val="27"/>
        </w:trPr>
        <w:tc>
          <w:tcPr>
            <w:tcW w:w="17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1,800</w:t>
            </w:r>
          </w:p>
        </w:tc>
        <w:tc>
          <w:tcPr>
            <w:tcW w:w="19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4"/>
              </w:rPr>
              <w:t>5,110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$18.86</w:t>
            </w:r>
          </w:p>
        </w:tc>
        <w:tc>
          <w:tcPr>
            <w:tcW w:w="196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3"/>
              </w:rPr>
              <w:t>$2.00</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$4.48</w:t>
            </w:r>
          </w:p>
        </w:tc>
      </w:tr>
      <w:tr>
        <w:trPr>
          <w:trHeight w:val="20"/>
        </w:trPr>
        <w:tc>
          <w:tcPr>
            <w:tcW w:w="17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four most significant tenants, each of which is a grocery retailer, occupying our shopping centers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3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Percentage of</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Grocery Anchor</w:t>
            </w:r>
          </w:p>
        </w:tc>
        <w:tc>
          <w:tcPr>
            <w:tcW w:w="100" w:type="dxa"/>
            <w:vAlign w:val="bottom"/>
            <w:vMerge w:val="restart"/>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Company-</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Stores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owned GLA </w:t>
            </w:r>
            <w:r>
              <w:rPr>
                <w:rFonts w:ascii="Arial" w:cs="Arial" w:eastAsia="Arial" w:hAnsi="Arial"/>
                <w:sz w:val="8"/>
                <w:szCs w:val="8"/>
                <w:b w:val="1"/>
                <w:bCs w:val="1"/>
                <w:color w:val="auto"/>
                <w:w w:val="96"/>
              </w:rPr>
              <w:t>(2)</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Base Rent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Kroger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4.3%</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Publix</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6.9%</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4.2%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Safeway</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9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 xml:space="preserve">Supervalu </w:t>
            </w:r>
            <w:r>
              <w:rPr>
                <w:rFonts w:ascii="Arial" w:cs="Arial" w:eastAsia="Arial" w:hAnsi="Arial"/>
                <w:sz w:val="25"/>
                <w:szCs w:val="25"/>
                <w:color w:val="auto"/>
                <w:vertAlign w:val="superscript"/>
              </w:rPr>
              <w:t>(3)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1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0" w:type="dxa"/>
            <w:vAlign w:val="bottom"/>
          </w:tcPr>
          <w:p>
            <w:pPr>
              <w:spacing w:after="0"/>
              <w:rPr>
                <w:sz w:val="1"/>
                <w:szCs w:val="1"/>
                <w:color w:val="auto"/>
              </w:rPr>
            </w:pPr>
          </w:p>
        </w:tc>
      </w:tr>
    </w:tbl>
    <w:p>
      <w:pPr>
        <w:ind w:left="1000" w:hanging="182"/>
        <w:spacing w:after="0" w:line="190" w:lineRule="auto"/>
        <w:tabs>
          <w:tab w:leader="none" w:pos="100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Includes stores owned by grocery anchors that are attached to our centers.</w:t>
      </w:r>
    </w:p>
    <w:p>
      <w:pPr>
        <w:spacing w:after="0" w:line="78" w:lineRule="exact"/>
        <w:rPr>
          <w:rFonts w:ascii="Arial" w:cs="Arial" w:eastAsia="Arial" w:hAnsi="Arial"/>
          <w:sz w:val="22"/>
          <w:szCs w:val="22"/>
          <w:color w:val="auto"/>
          <w:vertAlign w:val="superscript"/>
        </w:rPr>
      </w:pPr>
    </w:p>
    <w:p>
      <w:pPr>
        <w:ind w:left="980" w:hanging="162"/>
        <w:spacing w:after="0" w:line="211" w:lineRule="auto"/>
        <w:tabs>
          <w:tab w:leader="none" w:pos="98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Includes Regency's pro-rata share of Unconsolidated Properties and excludes those owned by anchors and the properties of BRET.</w:t>
      </w:r>
    </w:p>
    <w:p>
      <w:pPr>
        <w:spacing w:after="0" w:line="64" w:lineRule="exact"/>
        <w:rPr>
          <w:rFonts w:ascii="Arial" w:cs="Arial" w:eastAsia="Arial" w:hAnsi="Arial"/>
          <w:sz w:val="19"/>
          <w:szCs w:val="19"/>
          <w:color w:val="auto"/>
          <w:vertAlign w:val="superscript"/>
        </w:rPr>
      </w:pPr>
    </w:p>
    <w:p>
      <w:pPr>
        <w:ind w:left="820" w:right="1580" w:hanging="2"/>
        <w:spacing w:after="0" w:line="245" w:lineRule="auto"/>
        <w:tabs>
          <w:tab w:leader="none" w:pos="986"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On January 10, 2013, SUPERVALU announced that it had entered into an agreement to sell its four largest grocery chains to an investor consortium. We will continue to closely monitor the pending sale and the impact, if any, on its shopping centers.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796" w:right="279" w:bottom="1440" w:gutter="0" w:footer="0" w:header="0"/>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Although base rent is supported by long-term lease contracts, tenants who file bankruptcy may have the legal right to reject any or all of their leases and close related stores. In the event that a tenant with a significant number of leases in our shopping centers files bankruptcy and cancels its leases, we could experience a significant reduction in our revenues. We monitor industry trends and sales data to help us identify declines in retail categories or tenants who might be experiencing financial difficulties as a result of slowing sales, lack of credit, changes in retail formats or increased competition. As a result of our findings, we may reduce new leasing, suspend leasing, or curtail the allowance for the construction of leasehold improvements within a certain retail category or to a specific retailer.</w:t>
      </w:r>
    </w:p>
    <w:p>
      <w:pPr>
        <w:spacing w:after="0" w:line="13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monitor the financial condition of our tenants. We communicate often with those tenants who have announced store closings or filed bankruptcy. We are not currently aware of the pending bankruptcy or announced store closings of any tenants in our shopping centers that would individually cause a material reduction in our revenues, and no tenant represents more than 5% of our total annualized base rent on a pro-rata basis.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4"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Our Parent Company has no capital commitments other than its guarantees of the commitments of our Operating Partnership. The Parent Company will from time to time access the capital markets for the purpose of issuing new equity and will simultaneously contribute all of the offering proceeds to the Operating Partnership in exchange for additional partnership units. All debt is issued by our Operating Partnership or by our co-investment partnerships. On December 31, 2012, our cash balance was $22.3 million. We have an $800.0 million Line of Credit commitment (the "Line"), which matures in September 2016, that had an outstanding balance of $70.0 million at December 31, 2012 with remaining available borrowings of $730.0 million. As of December 31, 2012, we had the capacity to issue $128.0 million in common stock under various equity distribution agreements.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net cash flows related to operating, investing, and financing activities of the Company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(in thousands):</w:t>
      </w: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4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4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2010</w:t>
            </w:r>
          </w:p>
        </w:tc>
      </w:tr>
      <w:tr>
        <w:trPr>
          <w:trHeight w:val="33"/>
        </w:trPr>
        <w:tc>
          <w:tcPr>
            <w:tcW w:w="48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257,215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217,633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138,459</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(77,723)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(184,457)</w:t>
            </w:r>
          </w:p>
        </w:tc>
      </w:tr>
      <w:tr>
        <w:trPr>
          <w:trHeight w:val="27"/>
        </w:trPr>
        <w:tc>
          <w:tcPr>
            <w:tcW w:w="4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7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(249,891)</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(145,569)</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(32,797)</w:t>
            </w:r>
          </w:p>
        </w:tc>
      </w:tr>
      <w:tr>
        <w:trPr>
          <w:trHeight w:val="257"/>
        </w:trPr>
        <w:tc>
          <w:tcPr>
            <w:tcW w:w="484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(78,795)</w:t>
            </w:r>
          </w:p>
        </w:tc>
      </w:tr>
      <w:tr>
        <w:trPr>
          <w:trHeight w:val="20"/>
        </w:trPr>
        <w:tc>
          <w:tcPr>
            <w:tcW w:w="4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provided by operating activities:</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Net cash provided by operating activities increased by $39.6 million for the year ended December 31, 2012 as compared to the year ended December 31, 2011 due primarily to increased operating income, driven by higher occupancy, a decrease in interest expense, and timing of cash receipts and payments.</w:t>
      </w:r>
    </w:p>
    <w:p>
      <w:pPr>
        <w:spacing w:after="0" w:line="127"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Our dividend distribution policy is set by our Board of Directors who monitor our financial position. Our Board of Directors recently declared our quarterly dividend of $0.4625 per share, paid on February 27, 2013. Our dividend has remained unchanged since May 2009 and future dividends will be declared at the discretion of our Board of Directors and will be subject to capital requirements and availability. We plan to continue paying an aggregate amount of distributions to our stock and unit holders that, at a minimum, meet the requirements to continue qualifying as a REIT for Federal income tax purposes. We operate our business such that we expect net cash provided by operating activities will provide the necessary funds to pay our distributions to our share and unit holders, which were $188.4 million and $183.9 million for the years ended December 31, 2012 and 2011, respectively.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provided by (used in) investing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investing activities increased by $81.3 million for the year ended December 31, 2012, as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Significant investing activity during the year ended December 31, 2012 included:</w:t>
      </w:r>
    </w:p>
    <w:p>
      <w:pPr>
        <w:spacing w:after="0" w:line="157" w:lineRule="exact"/>
        <w:rPr>
          <w:sz w:val="20"/>
          <w:szCs w:val="20"/>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proceeds of $352.7 million from the sale of real estate including $273.5 million from the sale of a 15-property portfolio to a partnership in which Regency retained a non-controlling interest;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Contributing $14.2 million to a co-investment partnership for our pro rata ownership interest in Lake Grove Commons, a shopping center acquired in January 2012;</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Contributing $37.6 million to a co-investment partnership for our pro rata share to repay maturing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Contributing $6.6 million to a co-investment partnership for our pro rata share of redevelopment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Contributing $1.7 million to a new co-investment partnership for our pro rata share of the acquisition of land;</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Contributing $6.2 million to a new co-investment partnership for our pro rata ownership interest in Phillips Place, a shopping center acquired in December 2012;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0" w:right="259" w:bottom="1440" w:gutter="0" w:footer="0" w:header="0"/>
        </w:sectPr>
      </w:pPr>
    </w:p>
    <w:bookmarkStart w:id="44" w:name="page45"/>
    <w:bookmarkEnd w:id="44"/>
    <w:p>
      <w:pPr>
        <w:ind w:left="660" w:right="3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Capital expenditures incurred for the acquisition, development, redevelopment, improvement and leasing of our real estate properties was $320.6 million and $152.7 million for the years ended December 31, 2012, and 2011 (in thousands), respectively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Acquisition of operating real estate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156,026</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70,629</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85,397</w:t>
            </w: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9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Acquisition of land for development / redevelopment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27,100</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24,792</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w:t>
            </w:r>
          </w:p>
        </w:tc>
        <w:tc>
          <w:tcPr>
            <w:tcW w:w="10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71,702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Redevelopment costs</w:t>
            </w:r>
          </w:p>
        </w:tc>
        <w:tc>
          <w:tcPr>
            <w:tcW w:w="10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10,944</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11,552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Tenant allowances</w:t>
            </w:r>
          </w:p>
        </w:tc>
        <w:tc>
          <w:tcPr>
            <w:tcW w:w="10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10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2,206</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direct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Building improvements and other</w:t>
            </w:r>
          </w:p>
        </w:tc>
        <w:tc>
          <w:tcPr>
            <w:tcW w:w="10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32,180</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26,877</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5,303</w:t>
            </w: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development and capital improvements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164,588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82,519</w:t>
            </w: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320,614</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152,698</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167,916</w:t>
            </w:r>
          </w:p>
        </w:tc>
      </w:tr>
      <w:tr>
        <w:trPr>
          <w:trHeight w:val="20"/>
        </w:trPr>
        <w:tc>
          <w:tcPr>
            <w:tcW w:w="4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30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year ended December 31, 2012, we acquired five operating properties and five land parcels for $156.0 million and $27.1 million, respectively, compared to acquiring three operating properties and two land parcels for $70.6 million and $2.3 million, respectively, during the year ended December 31, 2011.</w:t>
      </w:r>
    </w:p>
    <w:p>
      <w:pPr>
        <w:spacing w:after="0" w:line="12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building improvements and other capital expenditures is due to normal ongoing improvements that may be capitalized for our existing centers.</w:t>
      </w:r>
    </w:p>
    <w:p>
      <w:pPr>
        <w:spacing w:after="0" w:line="11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2012, we started five new developments and one redevelopment as compared to starting four new developments and four redevelopments during 2011; however, two of the developments started in 2011 occurred during the fourth quarter of 2011 and contributed to the increased capitalization in 2012.</w:t>
      </w:r>
    </w:p>
    <w:p>
      <w:pPr>
        <w:spacing w:after="0" w:line="12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At December 31, 2012, we had four development projects that were either under construction or in lease up, compared to seven such development projects at December 31, 2011. The following table details our development projects as of December 31, 2012 (in thousands, except cost per square foot):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Estimated /</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Estimated Net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Actual</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Development Costs</w:t>
            </w: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Estimated Net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Cost per</w:t>
            </w:r>
          </w:p>
        </w:tc>
        <w:tc>
          <w:tcPr>
            <w:tcW w:w="3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Anchor</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6"/>
              </w:rPr>
              <w:t>After Partner</w:t>
            </w: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Costs to</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Company</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square foot of</w:t>
            </w:r>
          </w:p>
        </w:tc>
        <w:tc>
          <w:tcPr>
            <w:tcW w:w="340" w:type="dxa"/>
            <w:vAlign w:val="bottom"/>
          </w:tcPr>
          <w:p>
            <w:pPr>
              <w:spacing w:after="0"/>
              <w:rPr>
                <w:sz w:val="18"/>
                <w:szCs w:val="18"/>
                <w:color w:val="auto"/>
              </w:rPr>
            </w:pPr>
          </w:p>
        </w:tc>
      </w:tr>
      <w:tr>
        <w:trPr>
          <w:trHeight w:val="261"/>
        </w:trPr>
        <w:tc>
          <w:tcPr>
            <w:tcW w:w="23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Property Name</w:t>
            </w:r>
          </w:p>
        </w:tc>
        <w:tc>
          <w:tcPr>
            <w:tcW w:w="13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4"/>
              </w:rPr>
              <w:t>Start Date</w:t>
            </w:r>
          </w:p>
        </w:tc>
        <w:tc>
          <w:tcPr>
            <w:tcW w:w="11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Opening</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8"/>
              </w:rPr>
              <w:t>Participation</w:t>
            </w:r>
            <w:r>
              <w:rPr>
                <w:rFonts w:ascii="Arial" w:cs="Arial" w:eastAsia="Arial" w:hAnsi="Arial"/>
                <w:sz w:val="25"/>
                <w:szCs w:val="25"/>
                <w:b w:val="1"/>
                <w:bCs w:val="1"/>
                <w:color w:val="auto"/>
                <w:w w:val="88"/>
                <w:vertAlign w:val="superscript"/>
              </w:rPr>
              <w:t>(1)</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7"/>
              </w:rPr>
              <w:t xml:space="preserve">Complete </w:t>
            </w:r>
            <w:r>
              <w:rPr>
                <w:rFonts w:ascii="Arial" w:cs="Arial" w:eastAsia="Arial" w:hAnsi="Arial"/>
                <w:sz w:val="25"/>
                <w:szCs w:val="25"/>
                <w:b w:val="1"/>
                <w:bCs w:val="1"/>
                <w:color w:val="auto"/>
                <w:w w:val="87"/>
                <w:vertAlign w:val="superscript"/>
              </w:rPr>
              <w:t>(1)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Owned GLA</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1"/>
              </w:rPr>
              <w:t xml:space="preserve">GLA </w:t>
            </w:r>
            <w:r>
              <w:rPr>
                <w:rFonts w:ascii="Arial" w:cs="Arial" w:eastAsia="Arial" w:hAnsi="Arial"/>
                <w:sz w:val="25"/>
                <w:szCs w:val="25"/>
                <w:b w:val="1"/>
                <w:bCs w:val="1"/>
                <w:color w:val="auto"/>
                <w:w w:val="91"/>
                <w:vertAlign w:val="superscript"/>
              </w:rPr>
              <w:t>(1)</w:t>
            </w:r>
          </w:p>
        </w:tc>
        <w:tc>
          <w:tcPr>
            <w:tcW w:w="340" w:type="dxa"/>
            <w:vAlign w:val="bottom"/>
            <w:tcBorders>
              <w:bottom w:val="single" w:sz="8" w:color="CCEEFF"/>
            </w:tcBorders>
          </w:tcPr>
          <w:p>
            <w:pPr>
              <w:spacing w:after="0"/>
              <w:rPr>
                <w:sz w:val="22"/>
                <w:szCs w:val="22"/>
                <w:color w:val="auto"/>
              </w:rPr>
            </w:pPr>
          </w:p>
        </w:tc>
      </w:tr>
      <w:tr>
        <w:trPr>
          <w:trHeight w:val="24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Washington Place</w:t>
            </w:r>
          </w:p>
        </w:tc>
        <w:tc>
          <w:tcPr>
            <w:tcW w:w="13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Q4-11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Aug-13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60,562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Southpark at Cinco Ranch</w:t>
            </w:r>
          </w:p>
        </w:tc>
        <w:tc>
          <w:tcPr>
            <w:tcW w:w="1380" w:type="dxa"/>
            <w:vAlign w:val="bottom"/>
          </w:tcPr>
          <w:p>
            <w:pPr>
              <w:jc w:val="center"/>
              <w:ind w:left="190"/>
              <w:spacing w:after="0"/>
              <w:rPr>
                <w:sz w:val="20"/>
                <w:szCs w:val="20"/>
                <w:color w:val="auto"/>
              </w:rPr>
            </w:pPr>
            <w:r>
              <w:rPr>
                <w:rFonts w:ascii="Arial" w:cs="Arial" w:eastAsia="Arial" w:hAnsi="Arial"/>
                <w:sz w:val="18"/>
                <w:szCs w:val="18"/>
                <w:color w:val="auto"/>
                <w:w w:val="91"/>
              </w:rPr>
              <w:t>Q1-12</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2"/>
              </w:rPr>
              <w:t>Oct-12</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31,532</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7,730</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Shops at Erwin Mill</w:t>
            </w:r>
          </w:p>
        </w:tc>
        <w:tc>
          <w:tcPr>
            <w:tcW w:w="13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Q2-12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Dec-13</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Grand Ridge Plaza</w:t>
            </w:r>
          </w:p>
        </w:tc>
        <w:tc>
          <w:tcPr>
            <w:tcW w:w="1380" w:type="dxa"/>
            <w:vAlign w:val="bottom"/>
          </w:tcPr>
          <w:p>
            <w:pPr>
              <w:jc w:val="center"/>
              <w:ind w:left="190"/>
              <w:spacing w:after="0"/>
              <w:rPr>
                <w:sz w:val="20"/>
                <w:szCs w:val="20"/>
                <w:color w:val="auto"/>
              </w:rPr>
            </w:pPr>
            <w:r>
              <w:rPr>
                <w:rFonts w:ascii="Arial" w:cs="Arial" w:eastAsia="Arial" w:hAnsi="Arial"/>
                <w:sz w:val="18"/>
                <w:szCs w:val="18"/>
                <w:color w:val="auto"/>
                <w:w w:val="91"/>
              </w:rPr>
              <w:t>Q2-12</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Jun-13</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81,074</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50,151</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1"/>
                <w:szCs w:val="2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2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187,552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99,520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r>
      <w:tr>
        <w:trPr>
          <w:trHeight w:val="20"/>
        </w:trPr>
        <w:tc>
          <w:tcPr>
            <w:tcW w:w="2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80" w:lineRule="exact"/>
        <w:rPr>
          <w:sz w:val="20"/>
          <w:szCs w:val="20"/>
          <w:color w:val="auto"/>
        </w:rPr>
      </w:pPr>
    </w:p>
    <w:p>
      <w:pPr>
        <w:ind w:left="260" w:hanging="225"/>
        <w:spacing w:after="0"/>
        <w:tabs>
          <w:tab w:leader="none" w:pos="2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 represents costs, including leasing costs, net of tenant reimbursements.</w:t>
      </w:r>
    </w:p>
    <w:p>
      <w:pPr>
        <w:spacing w:after="0" w:line="55" w:lineRule="exact"/>
        <w:rPr>
          <w:rFonts w:ascii="Arial" w:cs="Arial" w:eastAsia="Arial" w:hAnsi="Arial"/>
          <w:sz w:val="25"/>
          <w:szCs w:val="25"/>
          <w:color w:val="auto"/>
          <w:vertAlign w:val="superscript"/>
        </w:rPr>
      </w:pPr>
    </w:p>
    <w:p>
      <w:pPr>
        <w:ind w:left="260" w:hanging="225"/>
        <w:spacing w:after="0" w:line="186" w:lineRule="auto"/>
        <w:tabs>
          <w:tab w:leader="none" w:pos="2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Amount represents a weighted average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5" w:name="page46"/>
    <w:bookmarkEnd w:id="45"/>
    <w:p>
      <w:pPr>
        <w:ind w:left="1980"/>
        <w:spacing w:after="0"/>
        <w:rPr>
          <w:sz w:val="20"/>
          <w:szCs w:val="20"/>
          <w:color w:val="auto"/>
        </w:rPr>
      </w:pPr>
      <w:r>
        <w:rPr>
          <w:rFonts w:ascii="Arial" w:cs="Arial" w:eastAsia="Arial" w:hAnsi="Arial"/>
          <w:sz w:val="18"/>
          <w:szCs w:val="18"/>
          <w:color w:val="auto"/>
        </w:rPr>
        <w:t>The following table details our developments completed during 2012 (in thousands, except cost per square foot):</w:t>
      </w:r>
    </w:p>
    <w:p>
      <w:pPr>
        <w:spacing w:after="0" w:line="32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62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Completion</w:t>
            </w:r>
          </w:p>
        </w:tc>
        <w:tc>
          <w:tcPr>
            <w:tcW w:w="4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 Development</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0"/>
              </w:rPr>
              <w:t>Cost per square</w:t>
            </w:r>
          </w:p>
        </w:tc>
      </w:tr>
      <w:tr>
        <w:trPr>
          <w:trHeight w:val="26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Property Name</w:t>
            </w:r>
          </w:p>
        </w:tc>
        <w:tc>
          <w:tcPr>
            <w:tcW w:w="16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2"/>
              </w:rPr>
              <w:t>Date</w:t>
            </w: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79"/>
              </w:rPr>
              <w:t xml:space="preserve">Costs </w:t>
            </w:r>
            <w:r>
              <w:rPr>
                <w:rFonts w:ascii="Arial" w:cs="Arial" w:eastAsia="Arial" w:hAnsi="Arial"/>
                <w:sz w:val="25"/>
                <w:szCs w:val="25"/>
                <w:b w:val="1"/>
                <w:bCs w:val="1"/>
                <w:color w:val="auto"/>
                <w:w w:val="79"/>
                <w:vertAlign w:val="superscript"/>
              </w:rPr>
              <w:t>(1)</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Owned GLA</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line="262" w:lineRule="exact"/>
              <w:rPr>
                <w:sz w:val="20"/>
                <w:szCs w:val="20"/>
                <w:color w:val="auto"/>
              </w:rPr>
            </w:pPr>
            <w:r>
              <w:rPr>
                <w:rFonts w:ascii="Arial" w:cs="Arial" w:eastAsia="Arial" w:hAnsi="Arial"/>
                <w:sz w:val="18"/>
                <w:szCs w:val="18"/>
                <w:b w:val="1"/>
                <w:bCs w:val="1"/>
                <w:color w:val="auto"/>
                <w:w w:val="96"/>
              </w:rPr>
              <w:t xml:space="preserve">foot of GLA </w:t>
            </w:r>
            <w:r>
              <w:rPr>
                <w:rFonts w:ascii="Arial" w:cs="Arial" w:eastAsia="Arial" w:hAnsi="Arial"/>
                <w:sz w:val="25"/>
                <w:szCs w:val="25"/>
                <w:b w:val="1"/>
                <w:bCs w:val="1"/>
                <w:color w:val="auto"/>
                <w:w w:val="96"/>
                <w:vertAlign w:val="superscript"/>
              </w:rPr>
              <w:t>(1)</w:t>
            </w: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Centerplace of Greeley III Ph II</w:t>
            </w:r>
          </w:p>
        </w:tc>
        <w:tc>
          <w:tcPr>
            <w:tcW w:w="16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Q2-12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Village at Lee Airpark</w:t>
            </w:r>
          </w:p>
        </w:tc>
        <w:tc>
          <w:tcPr>
            <w:tcW w:w="1620" w:type="dxa"/>
            <w:vAlign w:val="bottom"/>
          </w:tcPr>
          <w:p>
            <w:pPr>
              <w:jc w:val="center"/>
              <w:ind w:left="390"/>
              <w:spacing w:after="0"/>
              <w:rPr>
                <w:sz w:val="20"/>
                <w:szCs w:val="20"/>
                <w:color w:val="auto"/>
              </w:rPr>
            </w:pPr>
            <w:r>
              <w:rPr>
                <w:rFonts w:ascii="Arial" w:cs="Arial" w:eastAsia="Arial" w:hAnsi="Arial"/>
                <w:sz w:val="18"/>
                <w:szCs w:val="18"/>
                <w:color w:val="auto"/>
                <w:w w:val="91"/>
              </w:rPr>
              <w:t>Q2-12</w:t>
            </w:r>
          </w:p>
        </w:tc>
        <w:tc>
          <w:tcPr>
            <w:tcW w:w="4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24,107</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2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Nocatee Town Center</w:t>
            </w:r>
          </w:p>
        </w:tc>
        <w:tc>
          <w:tcPr>
            <w:tcW w:w="16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Q3-12</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14,304</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70"/>
        </w:trPr>
        <w:tc>
          <w:tcPr>
            <w:tcW w:w="29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Suncoast Crossing Ph II </w:t>
            </w:r>
            <w:r>
              <w:rPr>
                <w:rFonts w:ascii="Arial" w:cs="Arial" w:eastAsia="Arial" w:hAnsi="Arial"/>
                <w:sz w:val="25"/>
                <w:szCs w:val="25"/>
                <w:color w:val="auto"/>
                <w:vertAlign w:val="superscript"/>
              </w:rPr>
              <w:t>(2)</w:t>
            </w:r>
          </w:p>
        </w:tc>
        <w:tc>
          <w:tcPr>
            <w:tcW w:w="1620" w:type="dxa"/>
            <w:vAlign w:val="bottom"/>
          </w:tcPr>
          <w:p>
            <w:pPr>
              <w:jc w:val="center"/>
              <w:ind w:left="390"/>
              <w:spacing w:after="0"/>
              <w:rPr>
                <w:sz w:val="20"/>
                <w:szCs w:val="20"/>
                <w:color w:val="auto"/>
              </w:rPr>
            </w:pPr>
            <w:r>
              <w:rPr>
                <w:rFonts w:ascii="Arial" w:cs="Arial" w:eastAsia="Arial" w:hAnsi="Arial"/>
                <w:sz w:val="18"/>
                <w:szCs w:val="18"/>
                <w:color w:val="auto"/>
                <w:w w:val="91"/>
              </w:rPr>
              <w:t>Q3-12</w:t>
            </w:r>
          </w:p>
        </w:tc>
        <w:tc>
          <w:tcPr>
            <w:tcW w:w="40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7,253</w:t>
            </w:r>
          </w:p>
        </w:tc>
        <w:tc>
          <w:tcPr>
            <w:tcW w:w="3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806</w:t>
            </w: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Harris Crossing</w:t>
            </w:r>
          </w:p>
        </w:tc>
        <w:tc>
          <w:tcPr>
            <w:tcW w:w="16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Q3-12</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8,407</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Market at Colonnade</w:t>
            </w:r>
          </w:p>
        </w:tc>
        <w:tc>
          <w:tcPr>
            <w:tcW w:w="1620" w:type="dxa"/>
            <w:vAlign w:val="bottom"/>
          </w:tcPr>
          <w:p>
            <w:pPr>
              <w:jc w:val="center"/>
              <w:ind w:left="390"/>
              <w:spacing w:after="0"/>
              <w:rPr>
                <w:sz w:val="20"/>
                <w:szCs w:val="20"/>
                <w:color w:val="auto"/>
              </w:rPr>
            </w:pPr>
            <w:r>
              <w:rPr>
                <w:rFonts w:ascii="Arial" w:cs="Arial" w:eastAsia="Arial" w:hAnsi="Arial"/>
                <w:sz w:val="18"/>
                <w:szCs w:val="18"/>
                <w:color w:val="auto"/>
                <w:w w:val="91"/>
              </w:rPr>
              <w:t>Q3-12</w:t>
            </w:r>
          </w:p>
        </w:tc>
        <w:tc>
          <w:tcPr>
            <w:tcW w:w="4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15,270</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2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 Bay Village</w:t>
            </w:r>
          </w:p>
        </w:tc>
        <w:tc>
          <w:tcPr>
            <w:tcW w:w="16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Q4-12</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28,419</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Kent Place</w:t>
            </w:r>
          </w:p>
        </w:tc>
        <w:tc>
          <w:tcPr>
            <w:tcW w:w="1620" w:type="dxa"/>
            <w:vAlign w:val="bottom"/>
          </w:tcPr>
          <w:p>
            <w:pPr>
              <w:jc w:val="center"/>
              <w:ind w:left="390"/>
              <w:spacing w:after="0"/>
              <w:rPr>
                <w:sz w:val="20"/>
                <w:szCs w:val="20"/>
                <w:color w:val="auto"/>
              </w:rPr>
            </w:pPr>
            <w:r>
              <w:rPr>
                <w:rFonts w:ascii="Arial" w:cs="Arial" w:eastAsia="Arial" w:hAnsi="Arial"/>
                <w:sz w:val="18"/>
                <w:szCs w:val="18"/>
                <w:color w:val="auto"/>
                <w:w w:val="91"/>
              </w:rPr>
              <w:t>Q4-12</w:t>
            </w:r>
          </w:p>
        </w:tc>
        <w:tc>
          <w:tcPr>
            <w:tcW w:w="4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9,119</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2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Northgate Marketplace</w:t>
            </w:r>
          </w:p>
        </w:tc>
        <w:tc>
          <w:tcPr>
            <w:tcW w:w="16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Q4-12</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97"/>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128,437</w:t>
            </w:r>
          </w:p>
        </w:tc>
        <w:tc>
          <w:tcPr>
            <w:tcW w:w="3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552</w:t>
            </w:r>
          </w:p>
        </w:tc>
        <w:tc>
          <w:tcPr>
            <w:tcW w:w="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r>
      <w:tr>
        <w:trPr>
          <w:trHeight w:val="311"/>
        </w:trPr>
        <w:tc>
          <w:tcPr>
            <w:tcW w:w="29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bl>
    <w:p>
      <w:pPr>
        <w:ind w:left="1180" w:hanging="247"/>
        <w:spacing w:after="0" w:line="202" w:lineRule="auto"/>
        <w:tabs>
          <w:tab w:leader="none" w:pos="11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leasing costs, net of tenant reimbursements.</w:t>
      </w:r>
    </w:p>
    <w:p>
      <w:pPr>
        <w:spacing w:after="0" w:line="56" w:lineRule="exact"/>
        <w:rPr>
          <w:rFonts w:ascii="Arial" w:cs="Arial" w:eastAsia="Arial" w:hAnsi="Arial"/>
          <w:sz w:val="25"/>
          <w:szCs w:val="25"/>
          <w:color w:val="auto"/>
          <w:vertAlign w:val="superscript"/>
        </w:rPr>
      </w:pPr>
    </w:p>
    <w:p>
      <w:pPr>
        <w:ind w:left="940" w:right="1700" w:hanging="7"/>
        <w:spacing w:after="0" w:line="219" w:lineRule="auto"/>
        <w:tabs>
          <w:tab w:leader="none" w:pos="1132"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Suncoast Crossing Phase II net development costs include land improvements that will benefit a third phase, for which development has not yet commenced.</w:t>
      </w:r>
    </w:p>
    <w:p>
      <w:pPr>
        <w:spacing w:after="0" w:line="1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plan to continue developing projects for long-term investment purposes and have a staff of employees who directly support our development program. Internal costs attributable to these development activities are capitalized as part of each development project. During the year ended December 31, 2012, we capitalized $3.7 million of interest expense and $10.3 million of internal costs for direct compensation for development and redevelopment activity. Changes in the level of future development activity could adversely impact results of operations by reducing the amount of internal costs for development projects that may be capitalized. A 10% reduction in development activity without a corresponding reduction in the compensation costs directly related to our development activities could result in an additional charge to net income of approximately $859,000.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provided or used in 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financing activities increased by $104.3 million for the year ended December 31, 2012, as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Significant financing activities during the year ended December 31, 2012 include:</w:t>
      </w:r>
    </w:p>
    <w:p>
      <w:pPr>
        <w:spacing w:after="0" w:line="1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15, 2012, the Operating Partnership repaid $192.4 million of maturing 6.75% ten-year unsecured notes;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9, 2012, the Operating Partnership purchased all of its issued and outstanding 7.45% Series D Preferred Units, at a 3.75% discount to par, for net redemption costs of $48.1 million;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16, 2012, the Parent Company issued 10 million shares of 6.625% Series 6 Cumulative Redeemable Preferred Shares with a liquidation preference of $25 per share, resulting in proceeds of $241.4 million, net of issuance costs;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31, 2012, the Parent Company redeemed all issued and outstanding shares of 7.45% Series 3 and 7.25% Series 4 Cumulative Redeemable Preferred Shares for $200.0 million;</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August 23, 2012, the Parent Company issued 3 million shares of 6.00% Series 7 Cumulative Redeemable Preferred Shares with a liquidation preference of $25 per share, resulting in proceeds of $72.5 million, net of issuance costs;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September 13, 2012, the Parent Company redeemed all issued and outstanding shares of 6.70% Series 5 Cumulative Redeemable Preferred Shares for $75.0 million;</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third quarter of 2012, the Parent Company issued 442,786 shares of common stock through its at-the-market ("ATM") common equity issuance program resulting in proceeds, net of commissions and issuance costs, of $21.5 million;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746" w:right="279" w:bottom="1440" w:gutter="0" w:footer="0" w:header="0"/>
        </w:sectPr>
      </w:pPr>
    </w:p>
    <w:bookmarkStart w:id="46" w:name="page47"/>
    <w:bookmarkEnd w:id="46"/>
    <w:p>
      <w:pPr>
        <w:ind w:left="660" w:right="5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2012, we borrowed $250.0 million available under a Term Loan and repaid $150 million using the proceeds from the sale of real estate previously discussed. Our Term Loan has no remaining borrowing capacity and matures in December 2016.</w:t>
      </w:r>
    </w:p>
    <w:p>
      <w:pPr>
        <w:spacing w:after="0" w:line="1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endeavor to maintain a high percentage of unencumbered assets. At December 31, 2012, 76.8% of our wholly-owned real estate assets were unencumbered. Such assets allow us to access the secured and unsecured debt markets and to maintain significant availability on the Line. Our coverage ratio, including our pro-rata share of our partnerships, was 2.5 times for the year ended December 31, 2012 as compared to 2.3 times for the year ended December 31, 2011. We define our coverage ratio as earnings before interest, taxes, depreciation and amortization (“EBITDA”) divided by the sum of the gross interest and scheduled mortgage principal paid to our lenders plus dividends paid to our preferred stockholders.</w:t>
      </w:r>
    </w:p>
    <w:p>
      <w:pPr>
        <w:spacing w:after="0" w:line="1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Through 2013, we estimate that we will require approximately $130.5 million to repay $16.7 million of maturing debt (excluding scheduled principal payments), $110.5 million to complete currently in-process developments and redevelopments, and $3.3 million to fund our pro-rata share of estimated capital contributions to our co-investment partnerships for repayment of debt. If we start new development or redevelop additional shopping centers, our cash requirements will increase. At December 31, 2012, our joint ventures had $24.4 million of scheduled secured mortgage loans and credit lines maturing through 2013. To meet our cash requirements, we will utilize cash generated from operations, borrowings from our Line, proceeds from the sale of real estate, and when the capital markets are favorable, proceeds from the sale of common equity and the issuance of debt.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Investments in Real Estate Partnerships</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At December 31, 2012 and 2011, we had investments in real estate partnerships of $442.9 million and $386.9 million, respectively. The following table is a summary of unconsolidated combined assets and liabilities of these co-investment partnerships and our pro-rata share at December 31, 2012 and 2011 (dollars in thousands):</w:t>
      </w:r>
    </w:p>
    <w:p>
      <w:pPr>
        <w:spacing w:after="0" w:line="141"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jc w:val="right"/>
              <w:ind w:right="6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700" w:type="dxa"/>
            <w:vAlign w:val="bottom"/>
          </w:tcPr>
          <w:p>
            <w:pPr>
              <w:jc w:val="right"/>
              <w:ind w:right="611"/>
              <w:spacing w:after="0"/>
              <w:rPr>
                <w:sz w:val="20"/>
                <w:szCs w:val="20"/>
                <w:color w:val="auto"/>
              </w:rPr>
            </w:pPr>
            <w:r>
              <w:rPr>
                <w:rFonts w:ascii="Arial" w:cs="Arial" w:eastAsia="Arial" w:hAnsi="Arial"/>
                <w:sz w:val="16"/>
                <w:szCs w:val="16"/>
                <w:b w:val="1"/>
                <w:bCs w:val="1"/>
                <w:color w:val="auto"/>
              </w:rPr>
              <w:t>2011</w:t>
            </w:r>
          </w:p>
        </w:tc>
      </w:tr>
      <w:tr>
        <w:trPr>
          <w:trHeight w:val="33"/>
        </w:trPr>
        <w:tc>
          <w:tcPr>
            <w:tcW w:w="36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Co-investment Partnerships</w:t>
            </w:r>
          </w:p>
        </w:tc>
        <w:tc>
          <w:tcPr>
            <w:tcW w:w="10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Regency’s Ownership</w:t>
            </w:r>
          </w:p>
        </w:tc>
        <w:tc>
          <w:tcPr>
            <w:tcW w:w="10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20%-50%</w:t>
            </w:r>
          </w:p>
        </w:tc>
      </w:tr>
      <w:tr>
        <w:trPr>
          <w:trHeight w:val="27"/>
        </w:trPr>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Properties</w:t>
            </w:r>
          </w:p>
        </w:tc>
        <w:tc>
          <w:tcPr>
            <w:tcW w:w="10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36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Combined Assets </w:t>
            </w:r>
            <w:r>
              <w:rPr>
                <w:rFonts w:ascii="Arial" w:cs="Arial" w:eastAsia="Arial" w:hAnsi="Arial"/>
                <w:sz w:val="25"/>
                <w:szCs w:val="25"/>
                <w:color w:val="auto"/>
                <w:vertAlign w:val="superscript"/>
              </w:rPr>
              <w:t>(1)</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3,434,954</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3,501,775</w:t>
            </w:r>
          </w:p>
        </w:tc>
      </w:tr>
      <w:tr>
        <w:trPr>
          <w:trHeight w:val="270"/>
        </w:trPr>
        <w:tc>
          <w:tcPr>
            <w:tcW w:w="3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Combined Liabilities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1,933,488</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1,992,213</w:t>
            </w:r>
          </w:p>
        </w:tc>
      </w:tr>
      <w:tr>
        <w:trPr>
          <w:trHeight w:val="270"/>
        </w:trPr>
        <w:tc>
          <w:tcPr>
            <w:tcW w:w="36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Combined Equity </w:t>
            </w:r>
            <w:r>
              <w:rPr>
                <w:rFonts w:ascii="Arial" w:cs="Arial" w:eastAsia="Arial" w:hAnsi="Arial"/>
                <w:sz w:val="25"/>
                <w:szCs w:val="25"/>
                <w:color w:val="auto"/>
                <w:vertAlign w:val="superscript"/>
              </w:rPr>
              <w:t>(1)</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1,501,466</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1,509,562</w:t>
            </w:r>
          </w:p>
        </w:tc>
      </w:tr>
      <w:tr>
        <w:trPr>
          <w:trHeight w:val="270"/>
        </w:trPr>
        <w:tc>
          <w:tcPr>
            <w:tcW w:w="3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Regency’s Share of </w:t>
            </w:r>
            <w:r>
              <w:rPr>
                <w:rFonts w:ascii="Arial" w:cs="Arial" w:eastAsia="Arial" w:hAnsi="Arial"/>
                <w:sz w:val="25"/>
                <w:szCs w:val="25"/>
                <w:color w:val="auto"/>
                <w:vertAlign w:val="superscript"/>
              </w:rPr>
              <w:t>(1)(2)(3)</w:t>
            </w:r>
            <w:r>
              <w:rPr>
                <w:rFonts w:ascii="Arial" w:cs="Arial" w:eastAsia="Arial" w:hAnsi="Arial"/>
                <w:sz w:val="18"/>
                <w:szCs w:val="18"/>
                <w:color w:val="auto"/>
              </w:rPr>
              <w:t>:</w:t>
            </w:r>
          </w:p>
        </w:tc>
        <w:tc>
          <w:tcPr>
            <w:tcW w:w="10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43"/>
        </w:trPr>
        <w:tc>
          <w:tcPr>
            <w:tcW w:w="3620" w:type="dxa"/>
            <w:vAlign w:val="bottom"/>
          </w:tcPr>
          <w:p>
            <w:pPr>
              <w:ind w:left="480"/>
              <w:spacing w:after="0"/>
              <w:rPr>
                <w:sz w:val="20"/>
                <w:szCs w:val="20"/>
                <w:color w:val="auto"/>
              </w:rPr>
            </w:pPr>
            <w:r>
              <w:rPr>
                <w:rFonts w:ascii="Arial" w:cs="Arial" w:eastAsia="Arial" w:hAnsi="Arial"/>
                <w:sz w:val="18"/>
                <w:szCs w:val="18"/>
                <w:color w:val="auto"/>
              </w:rPr>
              <w:t>Assets</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1,154,387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1,160,954</w:t>
            </w:r>
          </w:p>
        </w:tc>
      </w:tr>
      <w:tr>
        <w:trPr>
          <w:trHeight w:val="27"/>
        </w:trPr>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Liabilities</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635,882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648,533</w:t>
            </w:r>
          </w:p>
        </w:tc>
      </w:tr>
      <w:tr>
        <w:trPr>
          <w:trHeight w:val="27"/>
        </w:trPr>
        <w:tc>
          <w:tcPr>
            <w:tcW w:w="3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ind w:left="1680" w:right="2180" w:hanging="4"/>
        <w:spacing w:after="0" w:line="224" w:lineRule="auto"/>
        <w:tabs>
          <w:tab w:leader="none" w:pos="1867" w:val="left"/>
        </w:tabs>
        <w:numPr>
          <w:ilvl w:val="0"/>
          <w:numId w:val="23"/>
        </w:numPr>
        <w:rPr>
          <w:rFonts w:ascii="Arial" w:cs="Arial" w:eastAsia="Arial" w:hAnsi="Arial"/>
          <w:sz w:val="23"/>
          <w:szCs w:val="23"/>
          <w:color w:val="auto"/>
          <w:vertAlign w:val="superscript"/>
        </w:rPr>
      </w:pPr>
      <w:r>
        <w:rPr>
          <w:rFonts w:ascii="Arial" w:cs="Arial" w:eastAsia="Arial" w:hAnsi="Arial"/>
          <w:sz w:val="15"/>
          <w:szCs w:val="15"/>
          <w:color w:val="auto"/>
        </w:rPr>
        <w:t>Excludes the assets and liabilities of BRET as the property holdings of BRET do not impact the rate of return on Regency's preferred stock investment.</w:t>
      </w:r>
    </w:p>
    <w:p>
      <w:pPr>
        <w:spacing w:after="0" w:line="51" w:lineRule="exact"/>
        <w:rPr>
          <w:rFonts w:ascii="Arial" w:cs="Arial" w:eastAsia="Arial" w:hAnsi="Arial"/>
          <w:sz w:val="23"/>
          <w:szCs w:val="23"/>
          <w:color w:val="auto"/>
          <w:vertAlign w:val="superscript"/>
        </w:rPr>
      </w:pPr>
    </w:p>
    <w:p>
      <w:pPr>
        <w:ind w:left="1680" w:right="1620" w:hanging="4"/>
        <w:spacing w:after="0" w:line="273" w:lineRule="auto"/>
        <w:tabs>
          <w:tab w:leader="none" w:pos="1846"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Pro-rata financial information is not, and is not intended to be, a presentation in accordance with GAAP. However, management believes that providing such information is useful to investors in assessing the impact of its investments in real estate partnership activities on the operations of Regency, which includes such items on a single line presentation under the equity method in its consolidated financial statements.</w:t>
      </w:r>
    </w:p>
    <w:p>
      <w:pPr>
        <w:spacing w:after="0" w:line="27" w:lineRule="exact"/>
        <w:rPr>
          <w:rFonts w:ascii="Arial" w:cs="Arial" w:eastAsia="Arial" w:hAnsi="Arial"/>
          <w:sz w:val="19"/>
          <w:szCs w:val="19"/>
          <w:color w:val="auto"/>
          <w:vertAlign w:val="superscript"/>
        </w:rPr>
      </w:pPr>
    </w:p>
    <w:p>
      <w:pPr>
        <w:ind w:left="1680" w:right="1600" w:hanging="4"/>
        <w:spacing w:after="0" w:line="261" w:lineRule="auto"/>
        <w:tabs>
          <w:tab w:leader="none" w:pos="1858"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The difference between Regency's share of the net assets of the co-investment partnerships and the Company's investments in real estate partnerships per the accompanying Consolidated Balance Sheets relates primarily to differences in inside/outside basis as further described in Note 4 to the Consolidated Financial Statements.</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Investments in real estate partnerships are primarily comprised of co-investment partnerships in which we currently invest with six co-investment partners and a closed-end real estate fund (“Regency Retail Partners” or the “Fund”), as further summarized below. In addition to earning our pro-rata share of net income or loss in each of these co-investment partnerships, we receive recurring market-based fees for asset management, property management, and leasing as well as fees for investment and financing services, which were $25.4 million, $29.0 million and $25.1 million for the years ended December 31, 2012, 2011, and 2010 respectively. During the years ended December 31, 2011 and 2010 we received transaction fees from our co-investment partnerships of $5.0 million and $2.6 million, respectively, with no such fees received during 2012.</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equity method investments in real estate partnerships as of December 31, 2012 and 2011 consist of the following (in thousands):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140" w:type="dxa"/>
            <w:vAlign w:val="bottom"/>
          </w:tcPr>
          <w:p>
            <w:pPr>
              <w:jc w:val="right"/>
              <w:ind w:right="131"/>
              <w:spacing w:after="0"/>
              <w:rPr>
                <w:sz w:val="20"/>
                <w:szCs w:val="20"/>
                <w:color w:val="auto"/>
              </w:rPr>
            </w:pPr>
            <w:r>
              <w:rPr>
                <w:rFonts w:ascii="Arial" w:cs="Arial" w:eastAsia="Arial" w:hAnsi="Arial"/>
                <w:sz w:val="16"/>
                <w:szCs w:val="16"/>
                <w:b w:val="1"/>
                <w:bCs w:val="1"/>
                <w:color w:val="auto"/>
              </w:rPr>
              <w:t>Regency's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6660" w:type="dxa"/>
            <w:vAlign w:val="bottom"/>
          </w:tcPr>
          <w:p>
            <w:pPr>
              <w:spacing w:after="0"/>
              <w:rPr>
                <w:sz w:val="18"/>
                <w:szCs w:val="18"/>
                <w:color w:val="auto"/>
              </w:rPr>
            </w:pPr>
          </w:p>
        </w:tc>
        <w:tc>
          <w:tcPr>
            <w:tcW w:w="1140" w:type="dxa"/>
            <w:vAlign w:val="bottom"/>
          </w:tcPr>
          <w:p>
            <w:pPr>
              <w:jc w:val="right"/>
              <w:ind w:right="111"/>
              <w:spacing w:after="0"/>
              <w:rPr>
                <w:sz w:val="20"/>
                <w:szCs w:val="20"/>
                <w:color w:val="auto"/>
              </w:rPr>
            </w:pPr>
            <w:r>
              <w:rPr>
                <w:rFonts w:ascii="Arial" w:cs="Arial" w:eastAsia="Arial" w:hAnsi="Arial"/>
                <w:sz w:val="16"/>
                <w:szCs w:val="16"/>
                <w:b w:val="1"/>
                <w:bCs w:val="1"/>
                <w:color w:val="auto"/>
              </w:rPr>
              <w:t>Ownership</w:t>
            </w:r>
          </w:p>
        </w:tc>
        <w:tc>
          <w:tcPr>
            <w:tcW w:w="200" w:type="dxa"/>
            <w:vAlign w:val="bottom"/>
          </w:tcPr>
          <w:p>
            <w:pPr>
              <w:spacing w:after="0"/>
              <w:rPr>
                <w:sz w:val="18"/>
                <w:szCs w:val="18"/>
                <w:color w:val="auto"/>
              </w:rPr>
            </w:pPr>
          </w:p>
        </w:tc>
        <w:tc>
          <w:tcPr>
            <w:tcW w:w="12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2011</w:t>
            </w:r>
          </w:p>
        </w:tc>
      </w:tr>
      <w:tr>
        <w:trPr>
          <w:trHeight w:val="33"/>
        </w:trPr>
        <w:tc>
          <w:tcPr>
            <w:tcW w:w="6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GRI - Regency, LLC (GRIR)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262,018</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Macquarie CountryWide-Regency III, LLC (MCWR III)</w:t>
            </w:r>
          </w:p>
        </w:tc>
        <w:tc>
          <w:tcPr>
            <w:tcW w:w="1140" w:type="dxa"/>
            <w:vAlign w:val="bottom"/>
          </w:tcPr>
          <w:p>
            <w:pPr>
              <w:jc w:val="right"/>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
        </w:trPr>
        <w:tc>
          <w:tcPr>
            <w:tcW w:w="6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Columbia Regency Retail Partners, LLC (Columbia I)</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20,335</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Columbia Regency Partners II, LLC (Columbia II)</w:t>
            </w:r>
          </w:p>
        </w:tc>
        <w:tc>
          <w:tcPr>
            <w:tcW w:w="11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9,686</w:t>
            </w:r>
          </w:p>
        </w:tc>
      </w:tr>
      <w:tr>
        <w:trPr>
          <w:trHeight w:val="27"/>
        </w:trPr>
        <w:tc>
          <w:tcPr>
            <w:tcW w:w="6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Cameron Village, LLC (Cameron)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17,110</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RegCal, LLC (RegCal)</w:t>
            </w:r>
          </w:p>
        </w:tc>
        <w:tc>
          <w:tcPr>
            <w:tcW w:w="114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18,128</w:t>
            </w:r>
          </w:p>
        </w:tc>
      </w:tr>
      <w:tr>
        <w:trPr>
          <w:trHeight w:val="27"/>
        </w:trPr>
        <w:tc>
          <w:tcPr>
            <w:tcW w:w="6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Retail Partners, LP (the Fund)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16,430</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US Regency Retail I, LLC (USAA)</w:t>
            </w:r>
          </w:p>
        </w:tc>
        <w:tc>
          <w:tcPr>
            <w:tcW w:w="114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3,093</w:t>
            </w:r>
          </w:p>
        </w:tc>
      </w:tr>
      <w:tr>
        <w:trPr>
          <w:trHeight w:val="27"/>
        </w:trPr>
        <w:tc>
          <w:tcPr>
            <w:tcW w:w="6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 Throne Holdings, LLC (BRET)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48,757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Other investments in real estate partnerships</w:t>
            </w: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46,506</w:t>
            </w:r>
          </w:p>
        </w:tc>
        <w:tc>
          <w:tcPr>
            <w:tcW w:w="1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39,887</w:t>
            </w:r>
          </w:p>
        </w:tc>
      </w:tr>
      <w:tr>
        <w:trPr>
          <w:trHeight w:val="27"/>
        </w:trPr>
        <w:tc>
          <w:tcPr>
            <w:tcW w:w="66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66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(1)</w:t>
            </w: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442,927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386,882</w:t>
            </w:r>
          </w:p>
        </w:tc>
      </w:tr>
    </w:tbl>
    <w:p>
      <w:pPr>
        <w:spacing w:after="0" w:line="17" w:lineRule="exact"/>
        <w:rPr>
          <w:sz w:val="20"/>
          <w:szCs w:val="20"/>
          <w:color w:val="auto"/>
        </w:rPr>
      </w:pPr>
    </w:p>
    <w:p>
      <w:pPr>
        <w:ind w:left="360" w:right="640" w:hanging="1"/>
        <w:spacing w:after="0" w:line="268" w:lineRule="auto"/>
        <w:tabs>
          <w:tab w:leader="none" w:pos="538"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The difference between Regency's share of the net assets of the co-investment partnerships and the Company's investments in real estate partnerships per the accompanying Consolidated Balance Sheets relates primarily to differences in inside/outside basis as further described in Note 4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-401320</wp:posOffset>
            </wp:positionV>
            <wp:extent cx="1749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580"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debt obligations related to our mortgage loans, unsecured notes, and our unsecured credit facilities as described further below and in Note 8 to the Consolidated Financial Statements. We have shopping centers that are subject to non-cancelable long-term ground leases where a third party owns and has leased the underlying land to us to construct and/or operate a shopping center. In addition, we have non-cancelable operating leases pertaining to office space from which we conduct our business. The table below excludes:</w:t>
      </w:r>
    </w:p>
    <w:p>
      <w:pPr>
        <w:spacing w:after="0" w:line="2" w:lineRule="exact"/>
        <w:rPr>
          <w:sz w:val="20"/>
          <w:szCs w:val="20"/>
          <w:color w:val="auto"/>
        </w:rPr>
      </w:pPr>
    </w:p>
    <w:p>
      <w:pPr>
        <w:ind w:left="660" w:right="10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Reserves for $9.3 million related to our pro-rata share of environmental remediation as discussed herein under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as the timing of the remediation payments is not currently known;</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Obligations related to construction or development contracts, since payments are only due upon satisfactory performance under the contracts;</w:t>
      </w:r>
    </w:p>
    <w:p>
      <w:pPr>
        <w:spacing w:after="0" w:line="20" w:lineRule="exact"/>
        <w:rPr>
          <w:rFonts w:ascii="Arial" w:cs="Arial" w:eastAsia="Arial" w:hAnsi="Arial"/>
          <w:sz w:val="17"/>
          <w:szCs w:val="17"/>
          <w:color w:val="auto"/>
        </w:rPr>
      </w:pPr>
    </w:p>
    <w:p>
      <w:pPr>
        <w:ind w:left="660" w:right="1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Letters of credit of $20.8 million issued to cover performance obligations on certain development projects, which will be satisfied upon completion of the development projects; and</w:t>
      </w:r>
    </w:p>
    <w:p>
      <w:pPr>
        <w:ind w:left="660" w:right="4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Obligations for retirement savings plans due to uncertainty around timing of participant withdrawals, which are solely within the control of the participant, and are further discussed in Note 13 to the Consolidated Financial Statements.</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table of Contractual Obligations summarizes our debt maturities including interest, excluding recorded debt premiums or discounts that are not obligations, and our obligations under non-cancelable operating leases, sub-leases, and ground leases as of December 31, 2012, including our pro-rata share of obligations within co-investment partnerships (in thousands):</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ind w:left="180"/>
              <w:spacing w:after="0"/>
              <w:rPr>
                <w:sz w:val="20"/>
                <w:szCs w:val="20"/>
                <w:color w:val="auto"/>
              </w:rPr>
            </w:pPr>
            <w:r>
              <w:rPr>
                <w:rFonts w:ascii="Arial" w:cs="Arial" w:eastAsia="Arial" w:hAnsi="Arial"/>
                <w:sz w:val="16"/>
                <w:szCs w:val="16"/>
                <w:b w:val="1"/>
                <w:bCs w:val="1"/>
                <w:color w:val="auto"/>
              </w:rPr>
              <w:t>Payments Due by Period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1"/>
        </w:trPr>
        <w:tc>
          <w:tcPr>
            <w:tcW w:w="2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Beyond 5</w:t>
            </w:r>
          </w:p>
        </w:tc>
        <w:tc>
          <w:tcPr>
            <w:tcW w:w="980" w:type="dxa"/>
            <w:vAlign w:val="bottom"/>
          </w:tcPr>
          <w:p>
            <w:pPr>
              <w:spacing w:after="0"/>
              <w:rPr>
                <w:sz w:val="20"/>
                <w:szCs w:val="20"/>
                <w:color w:val="auto"/>
              </w:rPr>
            </w:pPr>
          </w:p>
        </w:tc>
      </w:tr>
      <w:tr>
        <w:trPr>
          <w:trHeight w:val="270"/>
        </w:trPr>
        <w:tc>
          <w:tcPr>
            <w:tcW w:w="2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23"/>
                <w:szCs w:val="23"/>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2014</w:t>
            </w:r>
          </w:p>
        </w:tc>
        <w:tc>
          <w:tcPr>
            <w:tcW w:w="220" w:type="dxa"/>
            <w:vAlign w:val="bottom"/>
          </w:tcPr>
          <w:p>
            <w:pPr>
              <w:spacing w:after="0"/>
              <w:rPr>
                <w:sz w:val="23"/>
                <w:szCs w:val="23"/>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2015</w:t>
            </w:r>
          </w:p>
        </w:tc>
        <w:tc>
          <w:tcPr>
            <w:tcW w:w="220" w:type="dxa"/>
            <w:vAlign w:val="bottom"/>
          </w:tcPr>
          <w:p>
            <w:pPr>
              <w:spacing w:after="0"/>
              <w:rPr>
                <w:sz w:val="23"/>
                <w:szCs w:val="23"/>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23"/>
                <w:szCs w:val="23"/>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23"/>
                <w:szCs w:val="2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Years</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Total</w:t>
            </w:r>
          </w:p>
        </w:tc>
      </w:tr>
      <w:tr>
        <w:trPr>
          <w:trHeight w:val="33"/>
        </w:trPr>
        <w:tc>
          <w:tcPr>
            <w:tcW w:w="24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Payable:</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2420" w:type="dxa"/>
            <w:vAlign w:val="bottom"/>
          </w:tcPr>
          <w:p>
            <w:pPr>
              <w:ind w:left="160"/>
              <w:spacing w:after="0"/>
              <w:rPr>
                <w:sz w:val="20"/>
                <w:szCs w:val="20"/>
                <w:color w:val="auto"/>
              </w:rPr>
            </w:pPr>
            <w:r>
              <w:rPr>
                <w:rFonts w:ascii="Arial" w:cs="Arial" w:eastAsia="Arial" w:hAnsi="Arial"/>
                <w:sz w:val="16"/>
                <w:szCs w:val="16"/>
                <w:color w:val="auto"/>
              </w:rPr>
              <w:t xml:space="preserve">Regency </w:t>
            </w:r>
            <w:r>
              <w:rPr>
                <w:rFonts w:ascii="Arial" w:cs="Arial" w:eastAsia="Arial" w:hAnsi="Arial"/>
                <w:sz w:val="21"/>
                <w:szCs w:val="21"/>
                <w:color w:val="auto"/>
                <w:vertAlign w:val="superscript"/>
              </w:rPr>
              <w:t>(1)</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125,525</w:t>
            </w:r>
          </w:p>
        </w:tc>
        <w:tc>
          <w:tcPr>
            <w:tcW w:w="2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276,553</w:t>
            </w:r>
          </w:p>
        </w:tc>
        <w:tc>
          <w:tcPr>
            <w:tcW w:w="2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488,153</w:t>
            </w:r>
          </w:p>
        </w:tc>
        <w:tc>
          <w:tcPr>
            <w:tcW w:w="2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255,663</w:t>
            </w:r>
          </w:p>
        </w:tc>
        <w:tc>
          <w:tcPr>
            <w:tcW w:w="2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554,975</w:t>
            </w:r>
          </w:p>
        </w:tc>
        <w:tc>
          <w:tcPr>
            <w:tcW w:w="2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632,762</w:t>
            </w:r>
          </w:p>
        </w:tc>
        <w:tc>
          <w:tcPr>
            <w:tcW w:w="2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2,333,631</w:t>
            </w:r>
          </w:p>
        </w:tc>
      </w:tr>
      <w:tr>
        <w:trPr>
          <w:trHeight w:val="270"/>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Regency's share of JV </w:t>
            </w:r>
            <w:r>
              <w:rPr>
                <w:rFonts w:ascii="Arial" w:cs="Arial" w:eastAsia="Arial" w:hAnsi="Arial"/>
                <w:sz w:val="21"/>
                <w:szCs w:val="21"/>
                <w:color w:val="auto"/>
                <w:vertAlign w:val="superscript"/>
              </w:rPr>
              <w:t>(1)</w:t>
            </w:r>
          </w:p>
        </w:tc>
        <w:tc>
          <w:tcPr>
            <w:tcW w:w="8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46,560</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57,212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77,676</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150,348</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69,264</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380,510</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781,570</w:t>
            </w:r>
          </w:p>
        </w:tc>
      </w:tr>
      <w:tr>
        <w:trPr>
          <w:trHeight w:val="270"/>
        </w:trPr>
        <w:tc>
          <w:tcPr>
            <w:tcW w:w="2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160"/>
              <w:spacing w:after="0"/>
              <w:rPr>
                <w:sz w:val="20"/>
                <w:szCs w:val="20"/>
                <w:color w:val="auto"/>
              </w:rPr>
            </w:pPr>
            <w:r>
              <w:rPr>
                <w:rFonts w:ascii="Arial" w:cs="Arial" w:eastAsia="Arial" w:hAnsi="Arial"/>
                <w:sz w:val="16"/>
                <w:szCs w:val="16"/>
                <w:color w:val="auto"/>
              </w:rPr>
              <w:t>Regency</w:t>
            </w:r>
          </w:p>
        </w:tc>
        <w:tc>
          <w:tcPr>
            <w:tcW w:w="8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4,786</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4,070</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3,999</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3,406</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1,891</w:t>
            </w: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18,210</w:t>
            </w:r>
          </w:p>
        </w:tc>
      </w:tr>
      <w:tr>
        <w:trPr>
          <w:trHeight w:val="33"/>
        </w:trPr>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6"/>
                <w:szCs w:val="16"/>
                <w:color w:val="auto"/>
              </w:rPr>
              <w:t>Subleases:</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70"/>
        </w:trPr>
        <w:tc>
          <w:tcPr>
            <w:tcW w:w="2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Ground Leases:</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160"/>
              <w:spacing w:after="0"/>
              <w:rPr>
                <w:sz w:val="20"/>
                <w:szCs w:val="20"/>
                <w:color w:val="auto"/>
              </w:rPr>
            </w:pPr>
            <w:r>
              <w:rPr>
                <w:rFonts w:ascii="Arial" w:cs="Arial" w:eastAsia="Arial" w:hAnsi="Arial"/>
                <w:sz w:val="16"/>
                <w:szCs w:val="16"/>
                <w:color w:val="auto"/>
              </w:rPr>
              <w:t>Regency</w:t>
            </w:r>
          </w:p>
        </w:tc>
        <w:tc>
          <w:tcPr>
            <w:tcW w:w="8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3,175</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3,183</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2,808</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2,807</w:t>
            </w:r>
          </w:p>
        </w:tc>
        <w:tc>
          <w:tcPr>
            <w:tcW w:w="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2,758</w:t>
            </w: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101,555</w:t>
            </w:r>
          </w:p>
        </w:tc>
        <w:tc>
          <w:tcPr>
            <w:tcW w:w="2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116,286</w:t>
            </w:r>
          </w:p>
        </w:tc>
      </w:tr>
      <w:tr>
        <w:trPr>
          <w:trHeight w:val="33"/>
        </w:trPr>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Regency's share of JV</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10,534</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11,574</w:t>
            </w:r>
          </w:p>
        </w:tc>
      </w:tr>
      <w:tr>
        <w:trPr>
          <w:trHeight w:val="270"/>
        </w:trPr>
        <w:tc>
          <w:tcPr>
            <w:tcW w:w="24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180,025</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341,109</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572,750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412,400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629,096</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1,125,419</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3,260,799</w:t>
            </w:r>
          </w:p>
        </w:tc>
      </w:tr>
      <w:tr>
        <w:trPr>
          <w:trHeight w:val="20"/>
        </w:trPr>
        <w:tc>
          <w:tcPr>
            <w:tcW w:w="2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500" w:hanging="175"/>
        <w:spacing w:after="0"/>
        <w:tabs>
          <w:tab w:leader="none" w:pos="50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Amounts include interest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7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do not have off-balance sheet arrangements, financings, or other relationships with other unconsolidated entities (other than our co-investment partnerships) or other persons, also known as variable interest entities, not previously discussed. Our co-investment partnership properties have been financed with non-recourse loans. The Company has no guarantees related to these loans.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580"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Results from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2012 to 2011: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increased by $3.8 million or 0.8% in 2012, as compared to 2011, as summarized in the following table (in thousands):</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350,223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9,127</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Percentage rent</w:t>
            </w:r>
          </w:p>
        </w:tc>
        <w:tc>
          <w:tcPr>
            <w:tcW w:w="9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331</w:t>
            </w:r>
          </w:p>
        </w:tc>
      </w:tr>
      <w:tr>
        <w:trPr>
          <w:trHeight w:val="27"/>
        </w:trPr>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 from tenants and other income</w:t>
            </w:r>
          </w:p>
        </w:tc>
        <w:tc>
          <w:tcPr>
            <w:tcW w:w="9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107,732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105,899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Management, transaction, and other fees</w:t>
            </w:r>
          </w:p>
        </w:tc>
        <w:tc>
          <w:tcPr>
            <w:tcW w:w="9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26,511</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33,980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(7,469)</w:t>
            </w:r>
          </w:p>
        </w:tc>
      </w:tr>
      <w:tr>
        <w:trPr>
          <w:trHeight w:val="27"/>
        </w:trPr>
        <w:tc>
          <w:tcPr>
            <w:tcW w:w="3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496,920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493,098</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r>
      <w:tr>
        <w:trPr>
          <w:trHeight w:val="20"/>
        </w:trPr>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Minimum rent increased $9.1 million for the year ended December 31, 2012 compared to the year ended December 31, 2011 despite a $13.2 million decrease attributable to the sale of a 15-property portfolio on July 25, 2012. This portfolio was sold for total consideration of $273.5 million, net of a $47.5 million retained investment in the acquiring real estate partnership. As of December 31, 2012, this asset group did not meet the definition of discontinued operations, in accordance with FASB ASC Topic 205-20, Presentation of Financial Statements - Discontinued Operations, based on our continuing involvement.</w:t>
      </w:r>
    </w:p>
    <w:p>
      <w:pPr>
        <w:spacing w:after="0" w:line="13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increase in minimum rent is due to increased average occupancy levels at our consolidated properties from 92.2% leased at December 31, 2011 to 94.1% leased at December 31, 2012, combined with an increase in average base rent per square foot (psf) from $16.59 psf for the year ended December 31, 2011 to $16.86 psf for the year ended December 31, 2012. Minimum rent also increased $2.9 million due to the acquisition of five operating properties and four development properties since December 31, 2011.</w:t>
      </w:r>
    </w:p>
    <w:p>
      <w:pPr>
        <w:spacing w:after="0" w:line="13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Recoveries from tenants represent their share of the operating, maintenance, and real estate tax expenses that we incur to operate our shopping centers, as well as other income. Recoveries increased during the year ended December 31, 2012 as compared to the year ended December 31, 2011 primarily due to increased average occupancy, although recoveries were partially offset by declines in recovery revenue from the sale of real estate.</w:t>
      </w:r>
    </w:p>
    <w:p>
      <w:pPr>
        <w:spacing w:after="0" w:line="17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earned fees, at market-based rates, for asset management, property management, leasing, acquisition, and financing services that we provided to our co-investment partnerships and third parties as follows (in thousands):</w:t>
      </w:r>
    </w:p>
    <w:p>
      <w:pPr>
        <w:spacing w:after="0" w:line="347"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management fees</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Property management fees</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14,224</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14,910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 commissions and other fees</w:t>
            </w: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Transaction fees</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3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26,511</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33,980</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r>
      <w:tr>
        <w:trPr>
          <w:trHeight w:val="20"/>
        </w:trPr>
        <w:tc>
          <w:tcPr>
            <w:tcW w:w="3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decrease in fees in 2012 was primarily the result of the liquidation of the DESCO co-investment partnership during 2011, which included a $5.0 million disposition fee and a $1.0 million consulting fee we received as a result of the liquidation. Asset management fees, property management fees, and leasing commissions also declined as a result of the sale of properties held by our co-investment partnerships since December 31, 2011.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0" w:right="259" w:bottom="1440" w:gutter="0" w:footer="0" w:header="0"/>
        </w:sectPr>
      </w:pPr>
    </w:p>
    <w:bookmarkStart w:id="50" w:name="page51"/>
    <w:bookmarkEnd w:id="50"/>
    <w:p>
      <w:pPr>
        <w:ind w:firstLine="648"/>
        <w:spacing w:after="0" w:line="277" w:lineRule="auto"/>
        <w:rPr>
          <w:sz w:val="20"/>
          <w:szCs w:val="20"/>
          <w:color w:val="auto"/>
        </w:rPr>
      </w:pPr>
      <w:r>
        <w:rPr>
          <w:rFonts w:ascii="Arial" w:cs="Arial" w:eastAsia="Arial" w:hAnsi="Arial"/>
          <w:sz w:val="18"/>
          <w:szCs w:val="18"/>
          <w:color w:val="auto"/>
        </w:rPr>
        <w:t>Our operating expenses increased by $3.1 million or 1.0% in 2012, as compared to 2011. The following table summarizes our operating expenses (in thousands):</w:t>
      </w:r>
    </w:p>
    <w:p>
      <w:pPr>
        <w:spacing w:after="0" w:line="211"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126,808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128,963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13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69,900</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71,707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7"/>
        </w:trPr>
        <w:tc>
          <w:tcPr>
            <w:tcW w:w="3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56,117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5,583</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Real estate taxes</w:t>
            </w:r>
          </w:p>
        </w:tc>
        <w:tc>
          <w:tcPr>
            <w:tcW w:w="13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55,604</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54,622</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982</w:t>
            </w:r>
          </w:p>
        </w:tc>
      </w:tr>
      <w:tr>
        <w:trPr>
          <w:trHeight w:val="27"/>
        </w:trPr>
        <w:tc>
          <w:tcPr>
            <w:tcW w:w="3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57"/>
        </w:trPr>
        <w:tc>
          <w:tcPr>
            <w:tcW w:w="32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321,258</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318,128</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3,130</w:t>
            </w:r>
          </w:p>
        </w:tc>
      </w:tr>
      <w:tr>
        <w:trPr>
          <w:trHeight w:val="20"/>
        </w:trPr>
        <w:tc>
          <w:tcPr>
            <w:tcW w:w="3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Depreciation and amortization expense and operating and maintenance expense decreased $2.2 million and $1.8 million, respectively, for the year ended December 31, 2012, as compared to the year ended December 31, 2011, due to mild winter weather and a net reduction in the number of shopping centers owned during 2012 . General and administrative expense increased $5.6 million primarily due to an increase in incentive compensation expense as a result of exceeding performance targets.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other expense (income) (in thousands):</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r>
      <w:tr>
        <w:trPr>
          <w:trHeight w:val="33"/>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112,129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123,645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Provision for impairment</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74,816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12,424</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62,392</w:t>
            </w:r>
          </w:p>
        </w:tc>
      </w:tr>
      <w:tr>
        <w:trPr>
          <w:trHeight w:val="27"/>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w w:val="91"/>
              </w:rPr>
              <w:t>Net investment (income) loss from deferred compensation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plan</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185,740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136,275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49,465</w:t>
            </w:r>
          </w:p>
        </w:tc>
      </w:tr>
      <w:tr>
        <w:trPr>
          <w:trHeight w:val="20"/>
        </w:trPr>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discussed above, we sold a 15-property portfolio during 2012, and as a result of this sale, we recognized a net impairment loss of $18.1 million during the year ended December 31, 2012. Additional impairment of $56.7 million was recognized related to two operating properties and three land parcels. The majority of this impairment, $50.0 million, related to one operating property, which we determined was more likely than not to be sold before the end of its previously estimated hold period, which led to the impairment. This property is located in a master planned community of North Los Vegas, a market that was significantly impacted by the housing market crash. This is the only property owned by us in this market, and we currently do not intend to hold the property for a term that we estimate would be necessary for us to recover our investment. The other operating property exhibited weak operating fundamentals, including low economic occupancy for an extended period of time, which led to a $4.5 million impairment.</w:t>
      </w:r>
    </w:p>
    <w:p>
      <w:pPr>
        <w:spacing w:after="0" w:line="113"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During the year ended December 31, 2011, a $12.4 million provision for impairment was recognized related to two operating properties, that exhibited weak operating fundamentals, including low economic occupancy for an extended period of time, which lead to the impairment.</w:t>
      </w:r>
    </w:p>
    <w:p>
      <w:pPr>
        <w:spacing w:after="0" w:line="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July 20, 2012, we repaid $150 million of our Term Loan, and as a result of this early extinguishment of debt, we expensed approximately $852,000 in loan costs.</w:t>
      </w:r>
    </w:p>
    <w:p>
      <w:pPr>
        <w:spacing w:after="0" w:line="11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$2.3 million increase in net investment income from deferred compensation plan related to the change in the fair value of plan assets from December 31, 2011 to December 31, 2012 and is consistent with the change in plan liabilities.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665" w:right="27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following table presents the change in net interest expense (in thousands):</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notes payable</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103,610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116,343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on unsecured credit facilities</w:t>
            </w:r>
          </w:p>
        </w:tc>
        <w:tc>
          <w:tcPr>
            <w:tcW w:w="1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2,642</w:t>
            </w:r>
          </w:p>
        </w:tc>
      </w:tr>
      <w:tr>
        <w:trPr>
          <w:trHeight w:val="27"/>
        </w:trPr>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Hedge interest</w:t>
            </w:r>
          </w:p>
        </w:tc>
        <w:tc>
          <w:tcPr>
            <w:tcW w:w="1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9,492</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w:t>
            </w:r>
          </w:p>
        </w:tc>
      </w:tr>
      <w:tr>
        <w:trPr>
          <w:trHeight w:val="257"/>
        </w:trPr>
        <w:tc>
          <w:tcPr>
            <w:tcW w:w="35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112,129</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123,645</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(11,516)</w:t>
            </w:r>
          </w:p>
        </w:tc>
      </w:tr>
      <w:tr>
        <w:trPr>
          <w:trHeight w:val="20"/>
        </w:trPr>
        <w:tc>
          <w:tcPr>
            <w:tcW w:w="3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Interest on notes payable decreased and interest on unsecured credit facilities increased during the year ended December 31, 2012, as compared to the year ended December 31, 2011, as a result of the repayment of $192.4 million of 6.75% unsecured debt in January 2012 using proceeds from our Term Loan and $800 million Line of Credit at lower interest rates. Additional interest was capitalized during 2012 due to increased development activity.</w:t>
      </w:r>
    </w:p>
    <w:p>
      <w:pPr>
        <w:spacing w:after="0" w:line="1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equity in income (loss) of investments in real estate partnerships increased by $14.2 million in 2012, as compared to 2011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b w:val="1"/>
                <w:bCs w:val="1"/>
                <w:color w:val="auto"/>
              </w:rPr>
              <w:t>Regency's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56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rPr>
              <w:t>Ownership</w:t>
            </w:r>
          </w:p>
        </w:tc>
        <w:tc>
          <w:tcPr>
            <w:tcW w:w="2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33"/>
        </w:trPr>
        <w:tc>
          <w:tcPr>
            <w:tcW w:w="5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GRI - Regency, LLC (GRIR)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Macquarie CountryWide-Regency III, LLC (MCWR III)</w:t>
            </w:r>
          </w:p>
        </w:tc>
        <w:tc>
          <w:tcPr>
            <w:tcW w:w="120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5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Macquarie CountryWide-Regency-DESCO, LLC (MCWR-DESCO)</w:t>
            </w:r>
            <w:r>
              <w:rPr>
                <w:rFonts w:ascii="Arial" w:cs="Arial" w:eastAsia="Arial" w:hAnsi="Arial"/>
                <w:sz w:val="25"/>
                <w:szCs w:val="25"/>
                <w:color w:val="auto"/>
                <w:vertAlign w:val="superscript"/>
              </w:rPr>
              <w:t>(1)</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Columbia Regency Retail Partners, LLC (Columbia I)</w:t>
            </w: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5,705</w:t>
            </w:r>
          </w:p>
        </w:tc>
      </w:tr>
      <w:tr>
        <w:trPr>
          <w:trHeight w:val="27"/>
        </w:trPr>
        <w:tc>
          <w:tcPr>
            <w:tcW w:w="5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Columbia Regency Partners II, LLC (Columbia II)</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Cameron Village, LLC (Cameron)</w:t>
            </w:r>
          </w:p>
        </w:tc>
        <w:tc>
          <w:tcPr>
            <w:tcW w:w="12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274</w:t>
            </w:r>
          </w:p>
        </w:tc>
      </w:tr>
      <w:tr>
        <w:trPr>
          <w:trHeight w:val="27"/>
        </w:trPr>
        <w:tc>
          <w:tcPr>
            <w:tcW w:w="5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RegCal, LLC (RegCal)</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Regency Retail Partners, LP (the Fund)</w:t>
            </w: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w:t>
            </w:r>
          </w:p>
        </w:tc>
      </w:tr>
      <w:tr>
        <w:trPr>
          <w:trHeight w:val="27"/>
        </w:trPr>
        <w:tc>
          <w:tcPr>
            <w:tcW w:w="5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Regency Retail I, LLC (USAA)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BRE Throne Holdings, LLC (BRET)</w:t>
            </w:r>
          </w:p>
        </w:tc>
        <w:tc>
          <w:tcPr>
            <w:tcW w:w="1200" w:type="dxa"/>
            <w:vAlign w:val="bottom"/>
          </w:tcPr>
          <w:p>
            <w:pPr>
              <w:jc w:val="right"/>
              <w:spacing w:after="0"/>
              <w:rPr>
                <w:sz w:val="20"/>
                <w:szCs w:val="20"/>
                <w:color w:val="auto"/>
              </w:rPr>
            </w:pPr>
            <w:r>
              <w:rPr>
                <w:rFonts w:ascii="Arial" w:cs="Arial" w:eastAsia="Arial" w:hAnsi="Arial"/>
                <w:sz w:val="18"/>
                <w:szCs w:val="18"/>
                <w:color w:val="auto"/>
              </w:rPr>
              <w:t>47.80%</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2,211</w:t>
            </w:r>
          </w:p>
        </w:tc>
      </w:tr>
      <w:tr>
        <w:trPr>
          <w:trHeight w:val="27"/>
        </w:trPr>
        <w:tc>
          <w:tcPr>
            <w:tcW w:w="5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 in real estate partnerships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4,705</w:t>
            </w:r>
          </w:p>
        </w:tc>
      </w:tr>
      <w:tr>
        <w:trPr>
          <w:trHeight w:val="250"/>
        </w:trPr>
        <w:tc>
          <w:tcPr>
            <w:tcW w:w="5660" w:type="dxa"/>
            <w:vAlign w:val="bottom"/>
          </w:tcPr>
          <w:p>
            <w:pPr>
              <w:ind w:left="66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9,643</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8890</wp:posOffset>
            </wp:positionV>
            <wp:extent cx="2710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 w:lineRule="exact"/>
        <w:rPr>
          <w:sz w:val="20"/>
          <w:szCs w:val="20"/>
          <w:color w:val="auto"/>
        </w:rPr>
      </w:pPr>
    </w:p>
    <w:p>
      <w:pPr>
        <w:ind w:left="60" w:right="360" w:firstLine="9"/>
        <w:spacing w:after="0" w:line="301" w:lineRule="auto"/>
        <w:tabs>
          <w:tab w:leader="none" w:pos="238"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At December 2010, our ownership interest in MCWR-DESCO was 16.35%. The liquidation of MCWR-DESCO was complete effective May 4, 2011. Our ownership interest in MCWR-DESCO was 0.00% at both December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-319405</wp:posOffset>
            </wp:positionV>
            <wp:extent cx="2710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increase in our equity in income (loss) in investments in real estate partnerships for the year ended December 31, 2012, as compared to the year ended December 31, 2011, is primarily due to the recognition of our pro-rata share of the $34.5 million gain on sale of an operating property in the Columbia I partnership during second quarter of 2012, the new ownership joint venture interest retained in BRET as part of the portfolio sale during the three months ended December 31, 2012, and a $4.6 million impairment recognized on one investment in a real estate partnership during the first quarter of 2011.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46" w:right="259" w:bottom="1440" w:gutter="0" w:footer="0" w:header="0"/>
        </w:sectPr>
      </w:pPr>
    </w:p>
    <w:bookmarkStart w:id="52" w:name="page53"/>
    <w:bookmarkEnd w:id="52"/>
    <w:p>
      <w:pPr>
        <w:ind w:right="200" w:firstLine="648"/>
        <w:spacing w:after="0" w:line="277" w:lineRule="auto"/>
        <w:rPr>
          <w:sz w:val="20"/>
          <w:szCs w:val="20"/>
          <w:color w:val="auto"/>
        </w:rPr>
      </w:pPr>
      <w:r>
        <w:rPr>
          <w:rFonts w:ascii="Arial" w:cs="Arial" w:eastAsia="Arial" w:hAnsi="Arial"/>
          <w:sz w:val="18"/>
          <w:szCs w:val="18"/>
          <w:color w:val="auto"/>
        </w:rPr>
        <w:t>The following represents the remaining components to determine net income attributable to the common stockholders and unit holders for the year ended December 31, 2012, as compared to the year ended December 31, 2011 (in thousands):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tax</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(34,609)</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Income tax expense (benefit) of taxable REIT subsidiary</w:t>
            </w:r>
          </w:p>
        </w:tc>
        <w:tc>
          <w:tcPr>
            <w:tcW w:w="4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13,224</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10,230</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Gain on sale of real estate</w:t>
            </w:r>
          </w:p>
        </w:tc>
        <w:tc>
          <w:tcPr>
            <w:tcW w:w="4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attributable to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Preferred stock dividends</w:t>
            </w: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(32,531)</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(12,856)</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attributable to common stockholders</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31,695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(38,359)</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0"/>
        </w:trPr>
        <w:tc>
          <w:tcPr>
            <w:tcW w:w="5280" w:type="dxa"/>
            <w:vAlign w:val="bottom"/>
          </w:tcPr>
          <w:p>
            <w:pPr>
              <w:ind w:left="160"/>
              <w:spacing w:after="0"/>
              <w:rPr>
                <w:sz w:val="20"/>
                <w:szCs w:val="20"/>
                <w:color w:val="auto"/>
              </w:rPr>
            </w:pPr>
            <w:r>
              <w:rPr>
                <w:rFonts w:ascii="Arial" w:cs="Arial" w:eastAsia="Arial" w:hAnsi="Arial"/>
                <w:sz w:val="18"/>
                <w:szCs w:val="18"/>
                <w:color w:val="auto"/>
                <w:w w:val="94"/>
              </w:rPr>
              <w:t>Net income attributable to exchangeable operating partnership units</w:t>
            </w:r>
          </w:p>
        </w:tc>
        <w:tc>
          <w:tcPr>
            <w:tcW w:w="4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attributable to common unit holders</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31,798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(38,356)</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Income tax expense increased $10.2 million for the year ended December 31, 2012, as compared to the year ended December 31, 2011. During 2012, we identified four core operating properties within the Taxable REIT Subsidiary (“TRS”) and sold them to the REIT, which generated taxable gains enabling us to use a significant amount of the net operating losses created during the portfolio sale from July 2012. Based on the remaining properties within the TRS and future taxable income sources, the remaining deferred tax assets are not likely to be realized and a full valuation allowance was established on the balance.</w:t>
      </w:r>
    </w:p>
    <w:p>
      <w:pPr>
        <w:spacing w:after="0" w:line="5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Income from discontinued operations was $23.5 million for the year ended December 31, 2012 and includes $21.9 million in gains, net of taxes, from the sale of five properties and the operations of the shopping centers sold. Income from discontinued operations was $8.0 million for the year ended December 31, 2011 and includes $5.9 million in gains, net of taxes, from the sale of seven properties and the operations, including impairment, of the shopping centers sold.</w:t>
      </w:r>
    </w:p>
    <w:p>
      <w:pPr>
        <w:spacing w:after="0" w:line="13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Gain on sale of real estate decreased approximately $246,000 for the year ended December 31, 2012, as compared to the year ended December 31, 2011. During the year ended December 31, 2012, we sold seven out-parcels for a gain of $2.2 million, whereas during the year ended December 31, 2011, we sold eight out-parcels for no gain, and we sold two operating properties, which did not meet the definition of discontinued operations due to our continuing involvement, for a gain of $2.4 million.</w:t>
      </w:r>
    </w:p>
    <w:p>
      <w:pPr>
        <w:spacing w:after="0" w:line="13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income attributable to noncontrolling interests decreased during the year ended December 31, 2012 related to the redemption of preferred units in February 2012, resulting in expense recognition of the original preferred unit issuance costs of approximately $842,000 offset by the redemption discount of $1.9 million.</w:t>
      </w:r>
    </w:p>
    <w:p>
      <w:pPr>
        <w:spacing w:after="0" w:line="12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Preferred stock dividends increased $12.9 million during the year ended December 31, 2012, from $19.7 million during the year ended December 31, 2011 to $32.5 million during the year ended December 31, 2012. The increase is attributable to the $9.3 million of non-cash charges for the deemed distribution recognized upon redemption of the Series 3, 4 and 5 Preferred Stock during the year ended December 31, 2012, as well as the impact of additional dividends on the Series 6 Preferred Stock issued in February 2012 and Series 7 Preferred Stock issued in September 2012.</w:t>
      </w:r>
    </w:p>
    <w:p>
      <w:pPr>
        <w:spacing w:after="0" w:line="10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Related to our Parent Company's results, our net loss attributable to common stockholders for the year ended December 31, 2012 was $6.7 million, a decrease of $38.4 million as compared to net income of $31.7 million for the year ended December 31, 2011. The lower net income was primarily related to an increase in impairment provisions of $62.4 million, offset by a decrease in interest expense of $11.5 million and an increase in equity in income of investments in real estate partnerships of $14.2 million. Our diluted net loss per share was $0.08 for the year ended December 31, 2012 as compared to diluted net income per share of $0.35 for the year ended December 31, 2011.</w:t>
      </w:r>
    </w:p>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Related to our Operating Partnership results, our net loss attributable to common unit holders for the year ended December 31, 2012 was $6.6 million, a decrease of $38.4 million as compared to net income of $31.8 million for the year ended December 31, 2011 for the same reasons stated above. Our diluted net loss per unit was $0.08 for the year ended December 31, 2012 as compared to diluted net income per unit of $0.35 for the year ended December 31, 2011.</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Comparison of the years ended December 31, 2011 to 2010: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increased by $24.9 million or 5.3% in 2011, as compared to 2010, as summarized in the following table (in thousands):</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350,223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332,159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18,064</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Percentage rent</w:t>
            </w:r>
          </w:p>
        </w:tc>
        <w:tc>
          <w:tcPr>
            <w:tcW w:w="9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456</w:t>
            </w:r>
          </w:p>
        </w:tc>
      </w:tr>
      <w:tr>
        <w:trPr>
          <w:trHeight w:val="27"/>
        </w:trPr>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 from tenants and other income</w:t>
            </w:r>
          </w:p>
        </w:tc>
        <w:tc>
          <w:tcPr>
            <w:tcW w:w="9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104,092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Management, transaction, and other fees</w:t>
            </w:r>
          </w:p>
        </w:tc>
        <w:tc>
          <w:tcPr>
            <w:tcW w:w="9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33,980</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29,400</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4,580</w:t>
            </w:r>
          </w:p>
        </w:tc>
      </w:tr>
      <w:tr>
        <w:trPr>
          <w:trHeight w:val="27"/>
        </w:trPr>
        <w:tc>
          <w:tcPr>
            <w:tcW w:w="3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493,098</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468,191</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24,907</w:t>
            </w:r>
          </w:p>
        </w:tc>
      </w:tr>
      <w:tr>
        <w:trPr>
          <w:trHeight w:val="20"/>
        </w:trPr>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Minimum rent increased $18.1 million for the year ended December 31, 2011 compared to the year ended December 31, 2010 due to an increase in average base rent per square foot (psf) from $16.55 psf for the year ended December 31, 2010 to $16.59 psf for the year ended December 31, 2011, despite consistent average occupancy levels at our consolidated properties of 92.2% at December 31, 2011 and 2010. Minimum rent also increased due to the acquisition of two operating properties in the latter part of the fourth quarter of 2010, the acquisition of three operating properties during 2011, and four properties received through a distribution-in-kind ("DIK") of one interest in MCWR-DESCO ("DESCO DIK") in May 2011.</w:t>
      </w:r>
    </w:p>
    <w:p>
      <w:pPr>
        <w:spacing w:after="0" w:line="10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Recoveries from tenants increased as a result of increases in our operating and maintenance expenses, and real estate taxes for the year ended December 31, 2011 as compared to the year ended December 31, 2010 as summarized further below. In addition, other income increased due to increased contingency income earned from prior year sales of $1.4 million.</w:t>
      </w:r>
    </w:p>
    <w:p>
      <w:pPr>
        <w:spacing w:after="0" w:line="12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earned fees, at market-based rates, for asset management, property management, leasing, acquisition, disposition and financing services that we provided to our co-investment partnerships and third parties as follows (in thousands):</w:t>
      </w:r>
    </w:p>
    <w:p>
      <w:pPr>
        <w:spacing w:after="0" w:line="211"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management fees</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Property management fees</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14,910</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Leasing commissions and other fees</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2,853</w:t>
            </w:r>
          </w:p>
        </w:tc>
      </w:tr>
      <w:tr>
        <w:trPr>
          <w:trHeight w:val="27"/>
        </w:trPr>
        <w:tc>
          <w:tcPr>
            <w:tcW w:w="3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33,980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29,400</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4,580</w:t>
            </w:r>
          </w:p>
        </w:tc>
      </w:tr>
      <w:tr>
        <w:trPr>
          <w:trHeight w:val="20"/>
        </w:trPr>
        <w:tc>
          <w:tcPr>
            <w:tcW w:w="3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increase in transaction and other fees was due to the $5.0 million disposition fee and a $1.0 million consulting fee we received as a result of the DESCO DIK liquidation during the the year ended December 31, 2011, as compared to the $2.6 million disposition fee we received related to GRI's acquisition of Macquarie CountryWide's ("MCW") investment during the year ended December 31, 2010.</w:t>
      </w:r>
    </w:p>
    <w:p>
      <w:pPr>
        <w:spacing w:after="0" w:line="20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operating expenses increased by $12.0 million or 3.9% in 2011, as compared to 2010. The following table summarizes our operating expenses (in thousands):</w:t>
      </w:r>
    </w:p>
    <w:p>
      <w:pPr>
        <w:spacing w:after="0" w:line="130"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118,398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13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71,707</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67,514</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4,193</w:t>
            </w:r>
          </w:p>
        </w:tc>
      </w:tr>
      <w:tr>
        <w:trPr>
          <w:trHeight w:val="27"/>
        </w:trPr>
        <w:tc>
          <w:tcPr>
            <w:tcW w:w="3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56,117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Real estate taxes</w:t>
            </w:r>
          </w:p>
        </w:tc>
        <w:tc>
          <w:tcPr>
            <w:tcW w:w="13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54,622</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52,386</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2,236</w:t>
            </w:r>
          </w:p>
        </w:tc>
      </w:tr>
      <w:tr>
        <w:trPr>
          <w:trHeight w:val="27"/>
        </w:trPr>
        <w:tc>
          <w:tcPr>
            <w:tcW w:w="3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57"/>
        </w:trPr>
        <w:tc>
          <w:tcPr>
            <w:tcW w:w="32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318,128</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306,100</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12,028</w:t>
            </w:r>
          </w:p>
        </w:tc>
      </w:tr>
      <w:tr>
        <w:trPr>
          <w:trHeight w:val="20"/>
        </w:trPr>
        <w:tc>
          <w:tcPr>
            <w:tcW w:w="3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Depreciation and amortization expense, operating and maintenance expense, and real estate tax expense increased primarily due to the acquisition of two operating properties in the latter part of the fourth quarter of 2010, the acquisition of three operating properties during 2011, and the four properties received through the DESCO DIK in May 2011. General and administrative expense decreased $5.4 million primarily due to a decrease in salary expense, including incentive compensation and certain employee benefits.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746" w:right="29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The following table presents the components of other expense (income) (in thousands):</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2011</w:t>
            </w:r>
          </w:p>
        </w:tc>
        <w:tc>
          <w:tcPr>
            <w:tcW w:w="18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r>
      <w:tr>
        <w:trPr>
          <w:trHeight w:val="33"/>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123,645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125,287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Provision for impairment</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12,424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19,886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(7,462)</w:t>
            </w:r>
          </w:p>
        </w:tc>
      </w:tr>
      <w:tr>
        <w:trPr>
          <w:trHeight w:val="27"/>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w w:val="91"/>
              </w:rPr>
              <w:t>Net investment (income) loss from deferred compensation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plan</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2,188</w:t>
            </w:r>
          </w:p>
        </w:tc>
      </w:tr>
      <w:tr>
        <w:trPr>
          <w:trHeight w:val="27"/>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136,275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147,434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(11,159)</w:t>
            </w:r>
          </w:p>
        </w:tc>
      </w:tr>
      <w:tr>
        <w:trPr>
          <w:trHeight w:val="20"/>
        </w:trPr>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During the year ended December 31, 2011, a $12.4 million provision for impairment was recognized related to two operating properties that exhibited weak operating fundamentals, including low economic occupancy for an extended period of time, which lead to the impairment.</w:t>
      </w:r>
    </w:p>
    <w:p>
      <w:pPr>
        <w:spacing w:after="0" w:line="70"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During the year ended December 31, 2010, a $19.9 million provision for impairment was recognized as a result of identifying properties that had been previously considered held for long term investment and determining that they no longer met our long term investment strategy. As a result of this re-evaluation, we changed our expected investment holding period and reduced our carrying value to estimated fair value.</w:t>
      </w:r>
    </w:p>
    <w:p>
      <w:pPr>
        <w:spacing w:after="0" w:line="111" w:lineRule="exact"/>
        <w:rPr>
          <w:sz w:val="20"/>
          <w:szCs w:val="20"/>
          <w:color w:val="auto"/>
        </w:rPr>
      </w:pPr>
    </w:p>
    <w:p>
      <w:pPr>
        <w:ind w:firstLine="180"/>
        <w:spacing w:after="0" w:line="264" w:lineRule="auto"/>
        <w:rPr>
          <w:sz w:val="20"/>
          <w:szCs w:val="20"/>
          <w:color w:val="auto"/>
        </w:rPr>
      </w:pPr>
      <w:r>
        <w:rPr>
          <w:rFonts w:ascii="Arial" w:cs="Arial" w:eastAsia="Arial" w:hAnsi="Arial"/>
          <w:sz w:val="18"/>
          <w:szCs w:val="18"/>
          <w:color w:val="auto"/>
        </w:rPr>
        <w:t>On October 29, 2010, RCLP completed a tender offer for outstanding debt by purchasing $11.8 million of its $173.5 million 7.95% unsecured notes maturing in January 2011, and $57.6 million of its $250.0 million 6.75% unsecured notes maturing in January 2012 (collectively, the “Notes”). The Company recognized a $4.2 million expense for the early extinguishment of this debt.</w:t>
      </w:r>
    </w:p>
    <w:p>
      <w:pPr>
        <w:spacing w:after="0" w:line="12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$2.2 million increase in net investment income from deferred compensation plan related to the change in the fair value of plan assets from December 31, 2010 to December 31, 2011 and is consistent with the change in plan liabilities.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 in interest expense (in thousands):</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3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notes payable</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116,343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125,788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on unsecured credit facilities</w:t>
            </w:r>
          </w:p>
        </w:tc>
        <w:tc>
          <w:tcPr>
            <w:tcW w:w="1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3,619</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Hedge interest</w:t>
            </w:r>
          </w:p>
        </w:tc>
        <w:tc>
          <w:tcPr>
            <w:tcW w:w="1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3,902</w:t>
            </w:r>
          </w:p>
        </w:tc>
      </w:tr>
      <w:tr>
        <w:trPr>
          <w:trHeight w:val="27"/>
        </w:trPr>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35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123,645</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125,287</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r>
      <w:tr>
        <w:trPr>
          <w:trHeight w:val="20"/>
        </w:trPr>
        <w:tc>
          <w:tcPr>
            <w:tcW w:w="3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Interest on notes payable decreased during the year ended December 31, 2011, as compared to the year ended December 31, 2010, as a result of the repayment of $161.7 million and $20.0 million of unsecured debt in January 2011 and December 2011, respectively. Capitalized interest decreased as a result of reduced development activity during the year ended December 31, 2011, as compared to 2010. Hedge interest increased as a result of $36.7 million of hedges settled on September 30, 2010, with the realized loss being amortized over a ten year period beginning October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746" w:right="299" w:bottom="1440" w:gutter="0" w:footer="0" w:header="0"/>
        </w:sectPr>
      </w:pPr>
    </w:p>
    <w:bookmarkStart w:id="55" w:name="page56"/>
    <w:bookmarkEnd w:id="55"/>
    <w:p>
      <w:pPr>
        <w:ind w:right="600" w:firstLine="648"/>
        <w:spacing w:after="0" w:line="277" w:lineRule="auto"/>
        <w:rPr>
          <w:sz w:val="20"/>
          <w:szCs w:val="20"/>
          <w:color w:val="auto"/>
        </w:rPr>
      </w:pPr>
      <w:r>
        <w:rPr>
          <w:rFonts w:ascii="Arial" w:cs="Arial" w:eastAsia="Arial" w:hAnsi="Arial"/>
          <w:sz w:val="18"/>
          <w:szCs w:val="18"/>
          <w:color w:val="auto"/>
        </w:rPr>
        <w:t>Our equity in income (loss) of investments in real estate partnerships increased by $22.5 million in 2011, as compared to 2010 as follows (in thousands):</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rPr>
              <w:t>Ownership</w:t>
            </w:r>
          </w:p>
        </w:tc>
        <w:tc>
          <w:tcPr>
            <w:tcW w:w="220" w:type="dxa"/>
            <w:vAlign w:val="bottom"/>
          </w:tcPr>
          <w:p>
            <w:pPr>
              <w:spacing w:after="0"/>
              <w:rPr>
                <w:sz w:val="18"/>
                <w:szCs w:val="18"/>
                <w:color w:val="auto"/>
              </w:rPr>
            </w:pPr>
          </w:p>
        </w:tc>
        <w:tc>
          <w:tcPr>
            <w:tcW w:w="13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34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r>
      <w:tr>
        <w:trPr>
          <w:trHeight w:val="33"/>
        </w:trPr>
        <w:tc>
          <w:tcPr>
            <w:tcW w:w="5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GRI - Regency, LLC (GRIR)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13,938</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Macquarie CountryWide-Regency III, LLC (MCWR III)</w:t>
            </w:r>
          </w:p>
        </w:tc>
        <w:tc>
          <w:tcPr>
            <w:tcW w:w="128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Macquarie CountryWide-Regency-DESCO, LLC (MCWR-DESCO)</w:t>
            </w:r>
            <w:r>
              <w:rPr>
                <w:rFonts w:ascii="Arial" w:cs="Arial" w:eastAsia="Arial" w:hAnsi="Arial"/>
                <w:sz w:val="21"/>
                <w:szCs w:val="21"/>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Columbia Regency Retail Partners, LLC (Columbia I)</w:t>
            </w: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5,745</w:t>
            </w:r>
          </w:p>
        </w:tc>
      </w:tr>
      <w:tr>
        <w:trPr>
          <w:trHeight w:val="27"/>
        </w:trPr>
        <w:tc>
          <w:tcPr>
            <w:tcW w:w="5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Columbia Regency Partners II, LLC (Columbia II)</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Cameron Village, LLC (Cameron)</w:t>
            </w:r>
          </w:p>
        </w:tc>
        <w:tc>
          <w:tcPr>
            <w:tcW w:w="12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543</w:t>
            </w:r>
          </w:p>
        </w:tc>
      </w:tr>
      <w:tr>
        <w:trPr>
          <w:trHeight w:val="27"/>
        </w:trPr>
        <w:tc>
          <w:tcPr>
            <w:tcW w:w="5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RegCal, LLC (RegCal)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1,710</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Regency Retail Partners, LP (the Fund)</w:t>
            </w: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3,833</w:t>
            </w:r>
          </w:p>
        </w:tc>
      </w:tr>
      <w:tr>
        <w:trPr>
          <w:trHeight w:val="27"/>
        </w:trPr>
        <w:tc>
          <w:tcPr>
            <w:tcW w:w="5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Regency Retail I, LLC (USAA)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Other investments in real estate partnerships</w:t>
            </w: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(4,330)</w:t>
            </w:r>
          </w:p>
        </w:tc>
      </w:tr>
      <w:tr>
        <w:trPr>
          <w:trHeight w:val="27"/>
        </w:trPr>
        <w:tc>
          <w:tcPr>
            <w:tcW w:w="54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9,643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22,527</w:t>
            </w:r>
          </w:p>
        </w:tc>
      </w:tr>
      <w:tr>
        <w:trPr>
          <w:trHeight w:val="20"/>
        </w:trPr>
        <w:tc>
          <w:tcPr>
            <w:tcW w:w="5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180" w:right="320" w:firstLine="4"/>
        <w:spacing w:after="0" w:line="261" w:lineRule="auto"/>
        <w:tabs>
          <w:tab w:leader="none" w:pos="4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December 31, 2010, our ownership interest in MCWR-DESCO was 16.35%. The liquidation of MCWR-DESCO was complete effective May 4, 2011.</w:t>
      </w:r>
    </w:p>
    <w:p>
      <w:pPr>
        <w:spacing w:after="0" w:line="15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increase in our equity in income (loss) in investments in real estate partnerships for the year ended December 31, 2011, as compared to the year ended December 31, 2010, is related to our pro-rata share of the decrease in depreciation expense of $5.7 million, the decrease in interest expense of $5.9 million, the decrease in impairment provisions of $18.5 million, and the net gain on extinguishment of debt of $1.7 million, offset by a decrease in net operating income of $7.8 million and a gain on sale of properties of approximately $700,000 at the individual real estate partnerships.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represents the remaining components to determine net income attributable to the common stockholders and unit holders for the year ended December 31, 2011, as compared to the year ended December 31, 2010 (in thousands):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tax</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46,565</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Income tax expense (benefit) of taxable REIT subsidiary</w:t>
            </w:r>
          </w:p>
        </w:tc>
        <w:tc>
          <w:tcPr>
            <w:tcW w:w="4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4,327</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Gain on sale of real estate</w:t>
            </w:r>
          </w:p>
        </w:tc>
        <w:tc>
          <w:tcPr>
            <w:tcW w:w="4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1,411</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attributable to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Preferred stock dividends</w:t>
            </w: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(19,675)</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common stockholders</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31,695</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42,554</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0"/>
        </w:trPr>
        <w:tc>
          <w:tcPr>
            <w:tcW w:w="5280" w:type="dxa"/>
            <w:vAlign w:val="bottom"/>
          </w:tcPr>
          <w:p>
            <w:pPr>
              <w:ind w:left="160"/>
              <w:spacing w:after="0"/>
              <w:rPr>
                <w:sz w:val="20"/>
                <w:szCs w:val="20"/>
                <w:color w:val="auto"/>
              </w:rPr>
            </w:pPr>
            <w:r>
              <w:rPr>
                <w:rFonts w:ascii="Arial" w:cs="Arial" w:eastAsia="Arial" w:hAnsi="Arial"/>
                <w:sz w:val="18"/>
                <w:szCs w:val="18"/>
                <w:color w:val="auto"/>
                <w:w w:val="94"/>
              </w:rPr>
              <w:t>Net income attributable to exchangeable operating partnership units</w:t>
            </w:r>
          </w:p>
        </w:tc>
        <w:tc>
          <w:tcPr>
            <w:tcW w:w="4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common unit holders</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31,798</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42,573</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Income tax expense increased $4.3 million for the year ended December 31, 2011, as compared to the year ended December 31, 2010, primarily due to the increase in deferred income taxes in 2011 and a tax benefit recognized in 2010.</w:t>
      </w:r>
    </w:p>
    <w:p>
      <w:pPr>
        <w:spacing w:after="0" w:line="3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Income from discontinued operations was $8.0 million for the year ended December 31, 2011 and includes $5.9 million in gains, net of taxes, from the sale of seven properties and the operations of the shopping centers sold. Income from discontinued operations was $8.9 million for the year ended December 31, 2010 and includes $7.6 million in gains, net of taxes, from the sale of three properties and the operations, including impairment, of the shopping centers sold.</w:t>
      </w:r>
    </w:p>
    <w:p>
      <w:pPr>
        <w:spacing w:after="0" w:line="13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Gain on sale of real estate increased approximately $1.4 million for the year ended December 31, 2011, as compared to the year ended December 31, 2010. During the year ended December 31, 2011, we sold eight out-parcels for no gain, and we sold two operating properties that did not meet the definition of discontinued operations due to our continuing involvement, for a gain of $2.4 million. During the year ended December 31, 2010 we sold eleven out-parcels for a gain of approximately $661,000, and we sold three operating properties for a gain of approximately $332,000. These properties did not meet the definition of discontinued operations due to our continuing involvement.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665" w:right="279" w:bottom="1440" w:gutter="0" w:footer="0" w:header="0"/>
        </w:sectPr>
      </w:pPr>
    </w:p>
    <w:bookmarkStart w:id="56" w:name="page57"/>
    <w:bookmarkEnd w:id="56"/>
    <w:p>
      <w:pPr>
        <w:ind w:right="280" w:firstLine="648"/>
        <w:spacing w:after="0" w:line="342" w:lineRule="auto"/>
        <w:rPr>
          <w:sz w:val="20"/>
          <w:szCs w:val="20"/>
          <w:color w:val="auto"/>
        </w:rPr>
      </w:pPr>
      <w:r>
        <w:rPr>
          <w:rFonts w:ascii="Arial" w:cs="Arial" w:eastAsia="Arial" w:hAnsi="Arial"/>
          <w:sz w:val="16"/>
          <w:szCs w:val="16"/>
          <w:color w:val="auto"/>
        </w:rPr>
        <w:t>The income attributable to noncontrolling interests remained relatively consistent for the year ended December 31, 2011, as compared to the year ended December 31, 2010, increasing approximately $233,000. Preferred stock dividends also remained consistent between 2011 and 2010.</w:t>
      </w:r>
    </w:p>
    <w:p>
      <w:pPr>
        <w:spacing w:after="0" w:line="70"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Related to our Parent Company's results, our net income attributable to common stockholders for the year ended December 31, 2011 was $31.7 million, an increase of $42.6 million as compared to net loss of $10.9 million for the year ended December 31, 2010. The higher net income was primarily related to the increase in revenue, offset partially by the increase in operating expenses, from 2010 to 2011 as discussed above, a decrease in impairment provisions of $7.5 million, the $4.2 million net loss on extinguishment of debt incurred in 2010, and an increase in equity in income of investments in real estate partnerships of $22.5 million. Our diluted net income per share was $0.35 for the year ended December 31, 2011 as compared to diluted net loss per share of $0.14 for the year ended December 31, 2010.</w:t>
      </w:r>
    </w:p>
    <w:p>
      <w:pPr>
        <w:spacing w:after="0" w:line="13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Related to our Operating Partnership results, our net income attributable to common unit holders for the year ended December 31, 2011 was $31.8 million an increase of $42.6 million as compared to net loss of $10.8 million for the year ended December 31, 2010 for the same reasons stated above. Our diluted net income per unit was $0.35 for the year ended December 31, 2011 as compared to diluted net loss per unit of $0.14 for the year ended December 31, 2010.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Earnings Information</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use certain non-GAAP performance measures, in addition to the required GAAP presentations, as we believe these measures are beneficial to us in improving the understanding of the Company's operational results among the investing public. We believe such measures make comparisons of other REITs' operating results to the Company's more meaningful. We continually evaluate the usefulness, relevance, and calculation of our reported non-GAAP performance measures to determine how best to provide relevant information to the public, and thus such reported measures could change.</w:t>
      </w:r>
    </w:p>
    <w:p>
      <w:pPr>
        <w:spacing w:after="0" w:line="1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are our definitions of Same Property Net Operating Income ("NOI"), Funds from Operations ("FFO"), and Core FFO, which we believe to be beneficial non-GAAP performance measures used in understanding our operational results:</w:t>
      </w:r>
    </w:p>
    <w:p>
      <w:pPr>
        <w:spacing w:after="0" w:line="116" w:lineRule="exact"/>
        <w:rPr>
          <w:sz w:val="20"/>
          <w:szCs w:val="20"/>
          <w:color w:val="auto"/>
        </w:rPr>
      </w:pPr>
    </w:p>
    <w:p>
      <w:pPr>
        <w:ind w:left="660" w:right="40" w:hanging="328"/>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Same Property NOI </w:t>
      </w:r>
      <w:r>
        <w:rPr>
          <w:rFonts w:ascii="Arial" w:cs="Arial" w:eastAsia="Arial" w:hAnsi="Arial"/>
          <w:sz w:val="17"/>
          <w:szCs w:val="17"/>
          <w:color w:val="auto"/>
        </w:rPr>
        <w:t>includes only the net operating income of comparable operating properties that were owned and operated for the entirety of both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being compared and this excludes all Properties in Development and Non-Same Properties. A Non-Same Property is a property acquired during either period being compared or a development completion that is less than 90% funded or features less than two years of anchor operations. In no event can a development completion be termed a non-same property for more than two years. As such, Same Property NOI assists in eliminating disparities in net income due to the development, acquisition or disposition of properties during the particular period presented, and thus provides a more consistent performance measure for the comparison of our properties.</w:t>
      </w:r>
    </w:p>
    <w:p>
      <w:pPr>
        <w:spacing w:after="0" w:line="124" w:lineRule="exact"/>
        <w:rPr>
          <w:rFonts w:ascii="Arial" w:cs="Arial" w:eastAsia="Arial" w:hAnsi="Arial"/>
          <w:sz w:val="17"/>
          <w:szCs w:val="17"/>
          <w:color w:val="auto"/>
        </w:rPr>
      </w:pPr>
    </w:p>
    <w:p>
      <w:pPr>
        <w:ind w:left="660" w:right="340" w:hanging="328"/>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NOI </w:t>
      </w:r>
      <w:r>
        <w:rPr>
          <w:rFonts w:ascii="Arial" w:cs="Arial" w:eastAsia="Arial" w:hAnsi="Arial"/>
          <w:sz w:val="17"/>
          <w:szCs w:val="17"/>
          <w:color w:val="auto"/>
        </w:rPr>
        <w:t>is calculated as total property revenues (minimum rent, percentage rents, and recoveries from tenants and other income) less direct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(operating and maintenance and real estate taxes) from the properties owned by the Company, and excludes corporate-level income (including management, transaction, and other fees), for the entirety of the periods presented.</w:t>
      </w:r>
    </w:p>
    <w:p>
      <w:pPr>
        <w:spacing w:after="0" w:line="111" w:lineRule="exact"/>
        <w:rPr>
          <w:rFonts w:ascii="Arial" w:cs="Arial" w:eastAsia="Arial" w:hAnsi="Arial"/>
          <w:sz w:val="17"/>
          <w:szCs w:val="17"/>
          <w:color w:val="auto"/>
        </w:rPr>
      </w:pPr>
    </w:p>
    <w:p>
      <w:pPr>
        <w:ind w:left="660" w:right="20" w:hanging="328"/>
        <w:spacing w:after="0" w:line="28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FFO </w:t>
      </w:r>
      <w:r>
        <w:rPr>
          <w:rFonts w:ascii="Arial" w:cs="Arial" w:eastAsia="Arial" w:hAnsi="Arial"/>
          <w:sz w:val="16"/>
          <w:szCs w:val="16"/>
          <w:color w:val="auto"/>
        </w:rPr>
        <w:t>is a commonly used measure of REIT performance, which the National Association of Real Estate Investment Trusts ("NAREIT") defines as</w:t>
      </w:r>
      <w:r>
        <w:rPr>
          <w:rFonts w:ascii="Arial" w:cs="Arial" w:eastAsia="Arial" w:hAnsi="Arial"/>
          <w:sz w:val="16"/>
          <w:szCs w:val="16"/>
          <w:i w:val="1"/>
          <w:iCs w:val="1"/>
          <w:color w:val="auto"/>
        </w:rPr>
        <w:t xml:space="preserve"> </w:t>
      </w:r>
      <w:r>
        <w:rPr>
          <w:rFonts w:ascii="Arial" w:cs="Arial" w:eastAsia="Arial" w:hAnsi="Arial"/>
          <w:sz w:val="16"/>
          <w:szCs w:val="16"/>
          <w:color w:val="auto"/>
        </w:rPr>
        <w:t>net income, computed in accordance with GAAP, excluding gains and losses from sales of depreciable property, net of tax, excluding operating real estate impairments, plus depreciation and amortization, and after adjustments for unconsolidated partnerships and joint ventures. We compute FFO for all periods presented in accordance with NAREIT's definition. Many companies use different depreciable lives and methods, and real estate values historically fluctuate with market conditions. Since FFO excludes depreciation and amortization and gains and losses from depreciable property dispositions, and impairments, it can provide a performance measure that, when compared year over year, reflects the impact on operations from trends in occupancy rates, rental rates, operating costs, acquisition and development activities, and financing costs. This provides a perspective of our financial performance not immediately apparent from net income determined in accordance with GAAP. Thus, FFO is a supplemental non-GAAP financial measure of our operating performance, which does not represent cash generated from operating activities in accordance with GAAP and therefore, should not be considered an alternative for net income as a measure of liquidity.</w:t>
      </w:r>
    </w:p>
    <w:p>
      <w:pPr>
        <w:spacing w:after="0" w:line="115"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Core FFO </w:t>
      </w:r>
      <w:r>
        <w:rPr>
          <w:rFonts w:ascii="Arial" w:cs="Arial" w:eastAsia="Arial" w:hAnsi="Arial"/>
          <w:sz w:val="18"/>
          <w:szCs w:val="18"/>
          <w:color w:val="auto"/>
        </w:rPr>
        <w:t>is an additional performance measure we use as the computation of FFO includes certain non-cash and non-comparable items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our period-over-period performance. Core FFO excludes from FFO, but is not limited to, transaction income or expense, gains or losses from the early extinguishment of debt, development and outparcel gains and losses and other non-core items. We provide a reconciliation of FFO to Core FFO as shown below.</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665" w:right="259" w:bottom="1440" w:gutter="0" w:footer="0" w:header="0"/>
        </w:sectPr>
      </w:pPr>
    </w:p>
    <w:bookmarkStart w:id="57" w:name="page58"/>
    <w:bookmarkEnd w:id="57"/>
    <w:p>
      <w:pPr>
        <w:ind w:firstLine="648"/>
        <w:spacing w:after="0" w:line="277" w:lineRule="auto"/>
        <w:rPr>
          <w:sz w:val="20"/>
          <w:szCs w:val="20"/>
          <w:color w:val="auto"/>
        </w:rPr>
      </w:pPr>
      <w:r>
        <w:rPr>
          <w:rFonts w:ascii="Arial" w:cs="Arial" w:eastAsia="Arial" w:hAnsi="Arial"/>
          <w:sz w:val="18"/>
          <w:szCs w:val="18"/>
          <w:color w:val="auto"/>
        </w:rPr>
        <w:t>The Company's reconciliation of property revenues and property expenses to Same Property NOI for the years ended December 31, 2012 and 2011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117475</wp:posOffset>
            </wp:positionV>
            <wp:extent cx="4707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3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Same Property</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Same Property</w:t>
            </w: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1140" w:type="dxa"/>
            <w:vAlign w:val="bottom"/>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72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140,054</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(139,549)</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160,784</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(115,440)</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45,344</w:t>
            </w:r>
          </w:p>
        </w:tc>
      </w:tr>
      <w:tr>
        <w:trPr>
          <w:trHeight w:val="33"/>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720" w:type="dxa"/>
            <w:vAlign w:val="bottom"/>
          </w:tcPr>
          <w:p>
            <w:pPr>
              <w:ind w:left="280"/>
              <w:spacing w:after="0"/>
              <w:rPr>
                <w:sz w:val="20"/>
                <w:szCs w:val="20"/>
                <w:color w:val="auto"/>
              </w:rPr>
            </w:pPr>
            <w:r>
              <w:rPr>
                <w:rFonts w:ascii="Arial" w:cs="Arial" w:eastAsia="Arial" w:hAnsi="Arial"/>
                <w:sz w:val="16"/>
                <w:szCs w:val="16"/>
                <w:color w:val="auto"/>
              </w:rPr>
              <w:t>Management, transaction, and other fees</w:t>
            </w:r>
          </w:p>
        </w:tc>
        <w:tc>
          <w:tcPr>
            <w:tcW w:w="2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26,511</w:t>
            </w:r>
          </w:p>
        </w:tc>
        <w:tc>
          <w:tcPr>
            <w:tcW w:w="1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26,511</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33,980</w:t>
            </w: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33,980</w:t>
            </w:r>
          </w:p>
        </w:tc>
      </w:tr>
      <w:tr>
        <w:trPr>
          <w:trHeight w:val="33"/>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5,511</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7,196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5,169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6,294</w:t>
            </w:r>
          </w:p>
        </w:tc>
      </w:tr>
      <w:tr>
        <w:trPr>
          <w:trHeight w:val="237"/>
        </w:trPr>
        <w:tc>
          <w:tcPr>
            <w:tcW w:w="3720" w:type="dxa"/>
            <w:vAlign w:val="bottom"/>
          </w:tcPr>
          <w:p>
            <w:pPr>
              <w:ind w:left="40"/>
              <w:spacing w:after="0"/>
              <w:rPr>
                <w:sz w:val="20"/>
                <w:szCs w:val="20"/>
                <w:color w:val="auto"/>
              </w:rPr>
            </w:pPr>
            <w:r>
              <w:rPr>
                <w:rFonts w:ascii="Arial" w:cs="Arial" w:eastAsia="Arial" w:hAnsi="Arial"/>
                <w:sz w:val="16"/>
                <w:szCs w:val="16"/>
                <w:color w:val="auto"/>
              </w:rPr>
              <w:t>Plus: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103,775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23,033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126,808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103,294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25,669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128,963</w:t>
            </w:r>
          </w:p>
        </w:tc>
      </w:tr>
      <w:tr>
        <w:trPr>
          <w:trHeight w:val="237"/>
        </w:trPr>
        <w:tc>
          <w:tcPr>
            <w:tcW w:w="37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61,700</w:t>
            </w:r>
          </w:p>
        </w:tc>
        <w:tc>
          <w:tcPr>
            <w:tcW w:w="1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61,700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56,117</w:t>
            </w:r>
          </w:p>
        </w:tc>
      </w:tr>
      <w:tr>
        <w:trPr>
          <w:trHeight w:val="33"/>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37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Other operating expense, excluding provision for</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doubtful accounts</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4,230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4,239</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3,704</w:t>
            </w:r>
          </w:p>
        </w:tc>
      </w:tr>
      <w:tr>
        <w:trPr>
          <w:trHeight w:val="237"/>
        </w:trPr>
        <w:tc>
          <w:tcPr>
            <w:tcW w:w="3720" w:type="dxa"/>
            <w:vAlign w:val="bottom"/>
          </w:tcPr>
          <w:p>
            <w:pPr>
              <w:ind w:left="280"/>
              <w:spacing w:after="0"/>
              <w:rPr>
                <w:sz w:val="20"/>
                <w:szCs w:val="20"/>
                <w:color w:val="auto"/>
              </w:rPr>
            </w:pPr>
            <w:r>
              <w:rPr>
                <w:rFonts w:ascii="Arial" w:cs="Arial" w:eastAsia="Arial" w:hAnsi="Arial"/>
                <w:sz w:val="16"/>
                <w:szCs w:val="16"/>
                <w:color w:val="auto"/>
              </w:rPr>
              <w:t>Other expense (income)</w:t>
            </w:r>
          </w:p>
        </w:tc>
        <w:tc>
          <w:tcPr>
            <w:tcW w:w="2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82,499</w:t>
            </w:r>
          </w:p>
        </w:tc>
        <w:tc>
          <w:tcPr>
            <w:tcW w:w="1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103,241</w:t>
            </w:r>
          </w:p>
        </w:tc>
        <w:tc>
          <w:tcPr>
            <w:tcW w:w="1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185,740</w:t>
            </w:r>
          </w:p>
        </w:tc>
        <w:tc>
          <w:tcPr>
            <w:tcW w:w="1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41,659</w:t>
            </w:r>
          </w:p>
        </w:tc>
        <w:tc>
          <w:tcPr>
            <w:tcW w:w="1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94,616</w:t>
            </w: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136,275</w:t>
            </w:r>
          </w:p>
        </w:tc>
      </w:tr>
      <w:tr>
        <w:trPr>
          <w:trHeight w:val="33"/>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37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Equity in income (loss) of investments in real estate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372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excluded from NOI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63,053</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3,489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66,542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69,079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10,060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79,139</w:t>
            </w:r>
          </w:p>
        </w:tc>
      </w:tr>
      <w:tr>
        <w:trPr>
          <w:trHeight w:val="237"/>
        </w:trPr>
        <w:tc>
          <w:tcPr>
            <w:tcW w:w="3720" w:type="dxa"/>
            <w:vAlign w:val="bottom"/>
          </w:tcPr>
          <w:p>
            <w:pPr>
              <w:ind w:left="280"/>
              <w:spacing w:after="0"/>
              <w:rPr>
                <w:sz w:val="20"/>
                <w:szCs w:val="20"/>
                <w:color w:val="auto"/>
              </w:rPr>
            </w:pPr>
            <w:r>
              <w:rPr>
                <w:rFonts w:ascii="Arial" w:cs="Arial" w:eastAsia="Arial" w:hAnsi="Arial"/>
                <w:sz w:val="16"/>
                <w:szCs w:val="16"/>
                <w:color w:val="auto"/>
              </w:rPr>
              <w:t>Income tax expense of taxable REIT subsidiary</w:t>
            </w:r>
          </w:p>
        </w:tc>
        <w:tc>
          <w:tcPr>
            <w:tcW w:w="2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13,224</w:t>
            </w:r>
          </w:p>
        </w:tc>
        <w:tc>
          <w:tcPr>
            <w:tcW w:w="1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13,224</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2,994</w:t>
            </w:r>
          </w:p>
        </w:tc>
      </w:tr>
      <w:tr>
        <w:trPr>
          <w:trHeight w:val="33"/>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NOI from properties sold</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2,781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10,203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10,203</w:t>
            </w:r>
          </w:p>
        </w:tc>
      </w:tr>
      <w:tr>
        <w:trPr>
          <w:trHeight w:val="231"/>
        </w:trPr>
        <w:tc>
          <w:tcPr>
            <w:tcW w:w="3720" w:type="dxa"/>
            <w:vAlign w:val="bottom"/>
          </w:tcPr>
          <w:p>
            <w:pPr>
              <w:ind w:left="500"/>
              <w:spacing w:after="0"/>
              <w:rPr>
                <w:sz w:val="20"/>
                <w:szCs w:val="20"/>
                <w:color w:val="auto"/>
              </w:rPr>
            </w:pPr>
            <w:r>
              <w:rPr>
                <w:rFonts w:ascii="Arial" w:cs="Arial" w:eastAsia="Arial" w:hAnsi="Arial"/>
                <w:sz w:val="16"/>
                <w:szCs w:val="16"/>
                <w:color w:val="auto"/>
              </w:rPr>
              <w:t>NOI</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383,879</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43,953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427,832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369,975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52,490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422,465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Includes revenues and expenses attributable to non-same property, development, and corporate activities.</w:t>
      </w:r>
    </w:p>
    <w:p>
      <w:pPr>
        <w:spacing w:after="0" w:line="1" w:lineRule="exact"/>
        <w:rPr>
          <w:rFonts w:ascii="Arial" w:cs="Arial" w:eastAsia="Arial" w:hAnsi="Arial"/>
          <w:sz w:val="21"/>
          <w:szCs w:val="21"/>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Includes straight-line rental income, net of reserves, above and below market rent amortization, banking charges, and other fees.</w:t>
      </w:r>
    </w:p>
    <w:p>
      <w:pPr>
        <w:spacing w:after="0" w:line="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Excludes non-operating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-419100</wp:posOffset>
            </wp:positionV>
            <wp:extent cx="4707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65" w:right="239" w:bottom="1440" w:gutter="0" w:footer="0" w:header="0"/>
        </w:sectPr>
      </w:pPr>
    </w:p>
    <w:bookmarkStart w:id="58" w:name="page59"/>
    <w:bookmarkEnd w:id="58"/>
    <w:p>
      <w:pPr>
        <w:ind w:firstLine="648"/>
        <w:spacing w:after="0" w:line="277" w:lineRule="auto"/>
        <w:rPr>
          <w:sz w:val="20"/>
          <w:szCs w:val="20"/>
          <w:color w:val="auto"/>
        </w:rPr>
      </w:pPr>
      <w:r>
        <w:rPr>
          <w:rFonts w:ascii="Arial" w:cs="Arial" w:eastAsia="Arial" w:hAnsi="Arial"/>
          <w:sz w:val="18"/>
          <w:szCs w:val="18"/>
          <w:color w:val="auto"/>
        </w:rPr>
        <w:t>The Company's reconciliation of net income available to common shareholders to FFO and Core FFO for the years ended December 31, 2012 and 2011 is as follows (in thousands, except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168910</wp:posOffset>
            </wp:positionV>
            <wp:extent cx="16294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18" w:lineRule="exact"/>
        <w:rPr>
          <w:sz w:val="20"/>
          <w:szCs w:val="20"/>
          <w:color w:val="auto"/>
        </w:rPr>
      </w:pPr>
    </w:p>
    <w:tbl>
      <w:tblPr>
        <w:tblLayout w:type="fixed"/>
        <w:tblInd w:w="1310" w:type="dxa"/>
        <w:tblCellMar>
          <w:top w:w="0" w:type="dxa"/>
          <w:left w:w="0" w:type="dxa"/>
          <w:bottom w:w="0" w:type="dxa"/>
          <w:right w:w="0" w:type="dxa"/>
        </w:tblCellMar>
      </w:tblPr>
      <w:tr>
        <w:trPr>
          <w:trHeight w:val="192"/>
        </w:trPr>
        <w:tc>
          <w:tcPr>
            <w:tcW w:w="6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r>
      <w:tr>
        <w:trPr>
          <w:trHeight w:val="264"/>
        </w:trPr>
        <w:tc>
          <w:tcPr>
            <w:tcW w:w="6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Reconciliation of Net income to Funds from Operations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6040" w:type="dxa"/>
            <w:vAlign w:val="bottom"/>
          </w:tcPr>
          <w:p>
            <w:pPr>
              <w:ind w:left="220"/>
              <w:spacing w:after="0"/>
              <w:rPr>
                <w:sz w:val="20"/>
                <w:szCs w:val="20"/>
                <w:color w:val="auto"/>
              </w:rPr>
            </w:pPr>
            <w:r>
              <w:rPr>
                <w:rFonts w:ascii="Arial" w:cs="Arial" w:eastAsia="Arial" w:hAnsi="Arial"/>
                <w:sz w:val="14"/>
                <w:szCs w:val="14"/>
                <w:color w:val="auto"/>
              </w:rPr>
              <w:t>Net income (loss) attributable to common stockholders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(6,664)</w:t>
            </w:r>
          </w:p>
        </w:tc>
        <w:tc>
          <w:tcPr>
            <w:tcW w:w="100" w:type="dxa"/>
            <w:vAlign w:val="bottom"/>
          </w:tcPr>
          <w:p>
            <w:pPr>
              <w:spacing w:after="0"/>
              <w:rPr>
                <w:sz w:val="21"/>
                <w:szCs w:val="21"/>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31,695</w:t>
            </w:r>
          </w:p>
        </w:tc>
      </w:tr>
      <w:tr>
        <w:trPr>
          <w:trHeight w:val="276"/>
        </w:trPr>
        <w:tc>
          <w:tcPr>
            <w:tcW w:w="6040" w:type="dxa"/>
            <w:vAlign w:val="bottom"/>
            <w:tcBorders>
              <w:left w:val="single" w:sz="8" w:color="CCEEFF"/>
              <w:right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Adjustments to reconcile to Funds from Operations: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Depreciation and amortization - consolidated real estate</w:t>
            </w:r>
          </w:p>
        </w:tc>
        <w:tc>
          <w:tcPr>
            <w:tcW w:w="24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108,057</w:t>
            </w:r>
          </w:p>
        </w:tc>
        <w:tc>
          <w:tcPr>
            <w:tcW w:w="10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113,384</w:t>
            </w:r>
          </w:p>
        </w:tc>
      </w:tr>
      <w:tr>
        <w:trPr>
          <w:trHeight w:val="276"/>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Depreciation and amortization - unconsolidated partnerships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43,162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43,750</w:t>
            </w: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Consolidated JV partners' share of depreciation</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(739)</w:t>
            </w:r>
          </w:p>
        </w:tc>
      </w:tr>
      <w:tr>
        <w:trPr>
          <w:trHeight w:val="276"/>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 xml:space="preserve">Provision for impairment </w:t>
            </w:r>
            <w:r>
              <w:rPr>
                <w:rFonts w:ascii="Arial" w:cs="Arial" w:eastAsia="Arial" w:hAnsi="Arial"/>
                <w:sz w:val="8"/>
                <w:szCs w:val="8"/>
                <w:color w:val="auto"/>
              </w:rPr>
              <w:t>(1)</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75,326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19,614</w:t>
            </w: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Amortization of leasing commissions and intangibles</w:t>
            </w:r>
          </w:p>
        </w:tc>
        <w:tc>
          <w:tcPr>
            <w:tcW w:w="24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16,055</w:t>
            </w:r>
          </w:p>
        </w:tc>
        <w:tc>
          <w:tcPr>
            <w:tcW w:w="10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16,427</w:t>
            </w:r>
          </w:p>
        </w:tc>
      </w:tr>
      <w:tr>
        <w:trPr>
          <w:trHeight w:val="276"/>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 xml:space="preserve">Gain on sale of operating properties, net of tax </w:t>
            </w:r>
            <w:r>
              <w:rPr>
                <w:rFonts w:ascii="Arial" w:cs="Arial" w:eastAsia="Arial" w:hAnsi="Arial"/>
                <w:sz w:val="8"/>
                <w:szCs w:val="8"/>
                <w:color w:val="auto"/>
              </w:rPr>
              <w:t>(1)</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Loss from deferred compensation plan, net</w:t>
            </w:r>
          </w:p>
        </w:tc>
        <w:tc>
          <w:tcPr>
            <w:tcW w:w="2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1,000</w:t>
            </w:r>
          </w:p>
        </w:tc>
      </w:tr>
      <w:tr>
        <w:trPr>
          <w:trHeight w:val="270"/>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Noncontrolling interest of exchangeable partnership units</w:t>
            </w:r>
          </w:p>
        </w:tc>
        <w:tc>
          <w:tcPr>
            <w:tcW w:w="24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r>
      <w:tr>
        <w:trPr>
          <w:trHeight w:val="28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Funds From Operations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222,100</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220,318</w:t>
            </w:r>
          </w:p>
        </w:tc>
      </w:tr>
      <w:tr>
        <w:trPr>
          <w:trHeight w:val="245"/>
        </w:trPr>
        <w:tc>
          <w:tcPr>
            <w:tcW w:w="6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Reconciliation of FFO to Core FFO</w:t>
            </w:r>
          </w:p>
        </w:tc>
        <w:tc>
          <w:tcPr>
            <w:tcW w:w="2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r>
      <w:tr>
        <w:trPr>
          <w:trHeight w:val="256"/>
        </w:trPr>
        <w:tc>
          <w:tcPr>
            <w:tcW w:w="6040" w:type="dxa"/>
            <w:vAlign w:val="bottom"/>
            <w:tcBorders>
              <w:left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Funds from operations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220,318</w:t>
            </w:r>
          </w:p>
        </w:tc>
      </w:tr>
      <w:tr>
        <w:trPr>
          <w:trHeight w:val="264"/>
        </w:trPr>
        <w:tc>
          <w:tcPr>
            <w:tcW w:w="6040" w:type="dxa"/>
            <w:vAlign w:val="bottom"/>
          </w:tcPr>
          <w:p>
            <w:pPr>
              <w:ind w:left="460"/>
              <w:spacing w:after="0"/>
              <w:rPr>
                <w:sz w:val="20"/>
                <w:szCs w:val="20"/>
                <w:color w:val="auto"/>
              </w:rPr>
            </w:pPr>
            <w:r>
              <w:rPr>
                <w:rFonts w:ascii="Arial" w:cs="Arial" w:eastAsia="Arial" w:hAnsi="Arial"/>
                <w:sz w:val="14"/>
                <w:szCs w:val="14"/>
                <w:color w:val="auto"/>
              </w:rPr>
              <w:t>Adjustments to reconcile to Core Funds from Operations: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 xml:space="preserve">Development and outparcel gain, net of dead deal costs and tax </w:t>
            </w:r>
            <w:r>
              <w:rPr>
                <w:rFonts w:ascii="Arial" w:cs="Arial" w:eastAsia="Arial" w:hAnsi="Arial"/>
                <w:sz w:val="8"/>
                <w:szCs w:val="8"/>
                <w:color w:val="auto"/>
              </w:rPr>
              <w:t>(1)</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 xml:space="preserve">Provision for impairment to land and outparcels </w:t>
            </w:r>
            <w:r>
              <w:rPr>
                <w:rFonts w:ascii="Arial" w:cs="Arial" w:eastAsia="Arial" w:hAnsi="Arial"/>
                <w:sz w:val="8"/>
                <w:szCs w:val="8"/>
                <w:color w:val="auto"/>
              </w:rPr>
              <w:t>(1)</w:t>
            </w:r>
          </w:p>
        </w:tc>
        <w:tc>
          <w:tcPr>
            <w:tcW w:w="24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849</w:t>
            </w:r>
          </w:p>
        </w:tc>
      </w:tr>
      <w:tr>
        <w:trPr>
          <w:trHeight w:val="276"/>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 xml:space="preserve">Provision for hedge ineffectiveness </w:t>
            </w:r>
            <w:r>
              <w:rPr>
                <w:rFonts w:ascii="Arial" w:cs="Arial" w:eastAsia="Arial" w:hAnsi="Arial"/>
                <w:sz w:val="8"/>
                <w:szCs w:val="8"/>
                <w:color w:val="auto"/>
              </w:rPr>
              <w:t>(1)</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 xml:space="preserve">Loss (gain) on early debt extinguishment </w:t>
            </w:r>
            <w:r>
              <w:rPr>
                <w:rFonts w:ascii="Arial" w:cs="Arial" w:eastAsia="Arial" w:hAnsi="Arial"/>
                <w:sz w:val="8"/>
                <w:szCs w:val="8"/>
                <w:color w:val="auto"/>
              </w:rPr>
              <w:t>(1)</w:t>
            </w:r>
          </w:p>
        </w:tc>
        <w:tc>
          <w:tcPr>
            <w:tcW w:w="24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(1,745)</w:t>
            </w:r>
          </w:p>
        </w:tc>
      </w:tr>
      <w:tr>
        <w:trPr>
          <w:trHeight w:val="276"/>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Original preferred stock issuance costs expensed</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10,119</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Gain on redemption of preferred units</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040" w:type="dxa"/>
            <w:vAlign w:val="bottom"/>
            <w:tcBorders>
              <w:left w:val="single" w:sz="8" w:color="CCEEFF"/>
              <w:right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One-time additional preferred dividend</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6040" w:type="dxa"/>
            <w:vAlign w:val="bottom"/>
          </w:tcPr>
          <w:p>
            <w:pPr>
              <w:ind w:left="620"/>
              <w:spacing w:after="0"/>
              <w:rPr>
                <w:sz w:val="20"/>
                <w:szCs w:val="20"/>
                <w:color w:val="auto"/>
              </w:rPr>
            </w:pPr>
            <w:r>
              <w:rPr>
                <w:rFonts w:ascii="Arial" w:cs="Arial" w:eastAsia="Arial" w:hAnsi="Arial"/>
                <w:sz w:val="14"/>
                <w:szCs w:val="14"/>
                <w:color w:val="auto"/>
              </w:rPr>
              <w:t>Transaction fees and promotes</w:t>
            </w:r>
          </w:p>
        </w:tc>
        <w:tc>
          <w:tcPr>
            <w:tcW w:w="2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43"/>
        </w:trPr>
        <w:tc>
          <w:tcPr>
            <w:tcW w:w="6040" w:type="dxa"/>
            <w:vAlign w:val="bottom"/>
            <w:tcBorders>
              <w:top w:val="single" w:sz="8" w:color="CCEEFF"/>
              <w:left w:val="single" w:sz="8" w:color="CCEEFF"/>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Core Funds From Operations</w:t>
            </w:r>
          </w:p>
        </w:tc>
        <w:tc>
          <w:tcPr>
            <w:tcW w:w="24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213,148</w:t>
            </w: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1420" w:hanging="129"/>
        <w:spacing w:after="0"/>
        <w:tabs>
          <w:tab w:leader="none" w:pos="1420"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Includes Regency's pro-rata share of unconsolidated co-investment partnerships.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665"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subject to numerous environmental laws and regulations as they apply to our shopping centers pertaining to chemicals used by the dry cleaning industry, the existence of asbestos in older shopping centers, and underground petroleum storage tanks. We believe that the tenants who currently operate dry cleaning plants or gas stations do so in accordance with current laws and regulations. Generally, we use all legal means to cause tenants to remove dry cleaning plants from our shopping centers or convert them to more environmentally friendly systems. Where available, we have applied and been accepted into state-sponsored environmental programs. We have a blanket environmental insurance policy for third-party liabilities and remediation costs on shopping centers that currently have no known environmental contamination. We have also placed environmental insurance, where possible, on specific properties with known contamination, in order to mitigate our environmental risk. We monitor the shopping centers containing environmental issues and in certain cases voluntarily remediate the sites. We also have legal obligations to remediate certain sites and we are in the process of doing so. At December 31, 2012 we had reserves of $9.3 million for our pro-rata share of environmental remediation, primarily from property acquisitions. We believe that the ultimate disposition of currently known environmental matters will not have a material effect on our financial position, liquidity, or results of operations; however, we can give no assurance that existing environmental studies on our shopping centers have revealed all potential environmental liabilities; that any previous owner, occupant or tenant did not create any material environmental condition not known to us; that the current environmental condition of the shopping centers will not be affected by tenants and occupants, by the condition of nearby properties, or by unrelated third parties; or that changes in applicable environmental laws and regulations or their interpretation will not result in additional environmental liability to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Inflation/Deflation</w:t>
      </w:r>
    </w:p>
    <w:p>
      <w:pPr>
        <w:spacing w:after="0" w:line="200" w:lineRule="exact"/>
        <w:rPr>
          <w:sz w:val="20"/>
          <w:szCs w:val="20"/>
          <w:color w:val="auto"/>
        </w:rPr>
      </w:pPr>
    </w:p>
    <w:p>
      <w:pPr>
        <w:spacing w:after="0" w:line="20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Inflation has been historically low and has had a minimal impact on the operating performance of our shopping centers; however, inflation may become a greater concern in the future. Substantially all of our long-term leases contain provisions designed to mitigate the adverse impact of inflation. Most of our leases require tenants to pay their pro-rata share of operating expenses, including common-area maintenance, real estate taxes, insurance and utilities, thereby reducing our exposure to increases in costs and operating expenses resulting from inflation. In addition, many of our leases are for terms of less than ten years, which permits us to seek increased rents upon re-rental at market rates. However, during deflationary periods or periods of economic weakness, minimum rents and percentage rents may decline as the supply of available retail space exceeds demand and consumer spending declines. Occupancy declines resulting from a weak economic period will also likely result in lower recovery rates of our operating expenses.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two significant components of interest rate risk:</w:t>
      </w:r>
    </w:p>
    <w:p>
      <w:pPr>
        <w:spacing w:after="0" w:line="90" w:lineRule="exact"/>
        <w:rPr>
          <w:sz w:val="20"/>
          <w:szCs w:val="20"/>
          <w:color w:val="auto"/>
        </w:rPr>
      </w:pPr>
    </w:p>
    <w:p>
      <w:pPr>
        <w:ind w:left="660" w:right="160" w:hanging="328"/>
        <w:spacing w:after="0" w:line="29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a $800.0 million Line commitment and a $100.0 million Term Loan commitment, as further described in Note 8 to the Consolidated Financial Statements. Our Line commitment has a variable interest rate that is based upon a annual rate of LIBOR plus 117.5 basis points and our Term Loan has a variable interest rate of LIBOR plus 145 basis points. LIBOR rates charged on our Line commitment and our Term Loan (collectively our "unsecured credit facilities") change monthly. The spread on the unsecured credit facilities is dependent upon maintaining specific credit ratings. If our credit ratings are downgraded, the spread on the unsecured credit facilities would increase, resulting in higher interest costs.</w:t>
      </w:r>
    </w:p>
    <w:p>
      <w:pPr>
        <w:spacing w:after="0" w:line="104" w:lineRule="exact"/>
        <w:rPr>
          <w:rFonts w:ascii="Arial" w:cs="Arial" w:eastAsia="Arial" w:hAnsi="Arial"/>
          <w:sz w:val="16"/>
          <w:szCs w:val="16"/>
          <w:color w:val="auto"/>
        </w:rPr>
      </w:pPr>
    </w:p>
    <w:p>
      <w:pPr>
        <w:ind w:left="660" w:right="100" w:hanging="328"/>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also exposed to changes in interest rates when we refinance our existing long-term fixed rate debt. The objective of our interest rate risk management program is to limit the impact of interest rate changes on earnings and cash flows and to lower our overall borrowing costs. To achieve these objectives, we borrow primarily at fixed interest rates and may enter into derivative financial instruments such as interest rate swaps, caps, or treasury locks in order to mitigate our interest rate risk on a related financial instrument. We do not enter into derivative or interest rate transactions for speculative purposes. Our interest rate swaps are structured solely for the purpose of interest rate protection.</w:t>
      </w:r>
    </w:p>
    <w:p>
      <w:pPr>
        <w:spacing w:after="0" w:line="2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$181.6 million of fixed rate debt maturing in 2013 and 2014 that has a weighted average fixed interest rate of 5.22%, which includes $150.0 million of unsecured long-term debt that matures in April 2014. We also have $350.0 million of unsecured long-term debt that matures in 2015. In order to mitigate the risk of interest rates rising before we obtain new unsecured borrowings in 2014 and 2015, we entered into five forward-starting interest rate swaps during December 2012,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60" w:name="page61"/>
    <w:bookmarkEnd w:id="60"/>
    <w:p>
      <w:pPr>
        <w:ind w:right="20"/>
        <w:spacing w:after="0" w:line="255" w:lineRule="auto"/>
        <w:rPr>
          <w:sz w:val="20"/>
          <w:szCs w:val="20"/>
          <w:color w:val="auto"/>
        </w:rPr>
      </w:pPr>
      <w:r>
        <w:rPr>
          <w:rFonts w:ascii="Arial" w:cs="Arial" w:eastAsia="Arial" w:hAnsi="Arial"/>
          <w:sz w:val="18"/>
          <w:szCs w:val="18"/>
          <w:color w:val="auto"/>
        </w:rPr>
        <w:t>the same ten year periods we expect for our future borrowings. These swaps total $300.0 million of notional value, with weighted average fixed ten year swap rates of 2.09% for those starting in 2014 and 2.48% for those starting in 2015, as discussed in note 9 to the Consolidated Financial Statements. We continuously monitor the capital markets and evaluate our ability to issue new debt to repay maturing debt or fund our commitments. Based upon the current capital markets, our current credit ratings, our current capacity under our Line and Term Loan, and the number of high quality, unencumbered properties that we own which could collateralize borrowings, we expect that we will be able to successfully issue new secured or unsecured debt to fund these debt obligations.</w:t>
      </w:r>
    </w:p>
    <w:p>
      <w:pPr>
        <w:spacing w:after="0" w:line="13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interest rate risk is monitored using a variety of techniques. The table below presents the principal cash flows (in thousands, excluding interest expense), weighted average interest rates of remaining debt, and the fair value of total debt (in thousands) as of December 31, 2012, by year of expected maturity to evaluate the expected cash flows and sensitivity to interest rate changes. Although the average interest rate for variable rate debt is included in the table, those rates represent rates that existed at December 31, 2012 and are subject to change on a monthly basis.</w:t>
      </w:r>
    </w:p>
    <w:p>
      <w:pPr>
        <w:spacing w:after="0" w:line="11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table below incorporates only those exposures that exist as of December 31, 2012 and does not consider exposures or positions that could arise after that date. Since firm commitments are not presented, the table has limited predictive value. As a result, our ultimate realized gain or loss with respect to interest rate fluctuations will depend on the exposures that arise during the period, our hedging strategies at that time, and actual interest rates.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b w:val="1"/>
                <w:bCs w:val="1"/>
                <w:color w:val="auto"/>
              </w:rPr>
              <w:t>Thereafter</w:t>
            </w:r>
          </w:p>
        </w:tc>
        <w:tc>
          <w:tcPr>
            <w:tcW w:w="12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w:t>
            </w: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rate debt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23,987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172,545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418,181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19,648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488,960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632,762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1,756,083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1,997,561</w:t>
            </w: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2"/>
              </w:rPr>
              <w:t>Average interest rate for all</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184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fixed rate debt </w:t>
            </w:r>
            <w:r>
              <w:rPr>
                <w:rFonts w:ascii="Arial" w:cs="Arial" w:eastAsia="Arial" w:hAnsi="Arial"/>
                <w:sz w:val="21"/>
                <w:szCs w:val="21"/>
                <w:color w:val="auto"/>
                <w:vertAlign w:val="superscript"/>
              </w:rPr>
              <w:t>(1)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Variable rate LIBOR debt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11,837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170,000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182,390</w:t>
            </w: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2"/>
              </w:rPr>
              <w:t>Average interest rate for all</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184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variable rate debt </w:t>
            </w:r>
            <w:r>
              <w:rPr>
                <w:rFonts w:ascii="Arial" w:cs="Arial" w:eastAsia="Arial" w:hAnsi="Arial"/>
                <w:sz w:val="21"/>
                <w:szCs w:val="21"/>
                <w:color w:val="auto"/>
                <w:vertAlign w:val="superscript"/>
              </w:rPr>
              <w:t>(1)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24"/>
        </w:trPr>
        <w:tc>
          <w:tcPr>
            <w:tcW w:w="1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ind w:left="220" w:hanging="185"/>
        <w:spacing w:after="0" w:line="230" w:lineRule="auto"/>
        <w:tabs>
          <w:tab w:leader="none" w:pos="2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Average interest rates at the end of each year presented.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61" w:name="page62"/>
    <w:bookmarkEnd w:id="61"/>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Regency Centers Corporation and Regency Centers,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380" w:type="dxa"/>
            <w:vAlign w:val="bottom"/>
            <w:gridSpan w:val="8"/>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Reports of Independent Registered Public Accounting Firm</w:t>
              </w:r>
            </w:hyperlink>
          </w:p>
        </w:tc>
        <w:tc>
          <w:tcPr>
            <w:tcW w:w="260" w:type="dxa"/>
            <w:vAlign w:val="bottom"/>
            <w:gridSpan w:val="2"/>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59</w:t>
              </w:r>
            </w:hyperlink>
          </w:p>
        </w:tc>
      </w:tr>
      <w:tr>
        <w:trPr>
          <w:trHeight w:val="615"/>
        </w:trPr>
        <w:tc>
          <w:tcPr>
            <w:tcW w:w="42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Regency Centers Corporation:</w:t>
            </w:r>
          </w:p>
        </w:tc>
        <w:tc>
          <w:tcPr>
            <w:tcW w:w="6100" w:type="dxa"/>
            <w:vAlign w:val="bottom"/>
            <w:gridSpan w:val="6"/>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640" w:type="dxa"/>
            <w:vAlign w:val="bottom"/>
            <w:gridSpan w:val="3"/>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Consolidated Balance Sheets as of December 31, 2012 and 2011</w:t>
              </w:r>
            </w:hyperlink>
          </w:p>
        </w:tc>
        <w:tc>
          <w:tcPr>
            <w:tcW w:w="5740" w:type="dxa"/>
            <w:vAlign w:val="bottom"/>
            <w:gridSpan w:val="5"/>
          </w:tcPr>
          <w:p>
            <w:pPr>
              <w:spacing w:after="0"/>
              <w:rPr>
                <w:sz w:val="19"/>
                <w:szCs w:val="19"/>
                <w:color w:val="auto"/>
              </w:rPr>
            </w:pPr>
          </w:p>
        </w:tc>
        <w:tc>
          <w:tcPr>
            <w:tcW w:w="260" w:type="dxa"/>
            <w:vAlign w:val="bottom"/>
            <w:gridSpan w:val="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63</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380" w:type="dxa"/>
            <w:vAlign w:val="bottom"/>
            <w:gridSpan w:val="8"/>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Consolidated Statements of Operations for the years ended December 31, 2012, 2011, and 2010</w:t>
              </w:r>
            </w:hyperlink>
          </w:p>
        </w:tc>
        <w:tc>
          <w:tcPr>
            <w:tcW w:w="260" w:type="dxa"/>
            <w:vAlign w:val="bottom"/>
            <w:gridSpan w:val="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320" w:type="dxa"/>
            <w:vAlign w:val="bottom"/>
            <w:gridSpan w:val="7"/>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Consolidated Statements of Comprehensive Income (Loss) for the years ended December 31, 2012, 2011, and 2010</w:t>
              </w:r>
            </w:hyperlink>
          </w:p>
        </w:tc>
        <w:tc>
          <w:tcPr>
            <w:tcW w:w="2060" w:type="dxa"/>
            <w:vAlign w:val="bottom"/>
          </w:tcPr>
          <w:p>
            <w:pPr>
              <w:spacing w:after="0"/>
              <w:rPr>
                <w:sz w:val="21"/>
                <w:szCs w:val="21"/>
                <w:color w:val="auto"/>
              </w:rPr>
            </w:pPr>
          </w:p>
        </w:tc>
        <w:tc>
          <w:tcPr>
            <w:tcW w:w="260" w:type="dxa"/>
            <w:vAlign w:val="bottom"/>
            <w:gridSpan w:val="2"/>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65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580" w:type="dxa"/>
            <w:vAlign w:val="bottom"/>
            <w:gridSpan w:val="4"/>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Consolidated Statements of Equity for the years ended December 31, 2012, 2011, and 2010</w:t>
              </w:r>
            </w:hyperlink>
          </w:p>
        </w:tc>
        <w:tc>
          <w:tcPr>
            <w:tcW w:w="1740" w:type="dxa"/>
            <w:vAlign w:val="bottom"/>
            <w:gridSpan w:val="3"/>
          </w:tcPr>
          <w:p>
            <w:pPr>
              <w:spacing w:after="0"/>
              <w:rPr>
                <w:sz w:val="21"/>
                <w:szCs w:val="21"/>
                <w:color w:val="auto"/>
              </w:rPr>
            </w:pPr>
          </w:p>
        </w:tc>
        <w:tc>
          <w:tcPr>
            <w:tcW w:w="2060" w:type="dxa"/>
            <w:vAlign w:val="bottom"/>
          </w:tcPr>
          <w:p>
            <w:pPr>
              <w:spacing w:after="0"/>
              <w:rPr>
                <w:sz w:val="21"/>
                <w:szCs w:val="21"/>
                <w:color w:val="auto"/>
              </w:rPr>
            </w:pPr>
          </w:p>
        </w:tc>
        <w:tc>
          <w:tcPr>
            <w:tcW w:w="260" w:type="dxa"/>
            <w:vAlign w:val="bottom"/>
            <w:gridSpan w:val="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66</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380" w:type="dxa"/>
            <w:vAlign w:val="bottom"/>
            <w:gridSpan w:val="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Cash Flows for the years ended December 31, 2012, 2011, and 2010</w:t>
              </w:r>
            </w:hyperlink>
          </w:p>
        </w:tc>
        <w:tc>
          <w:tcPr>
            <w:tcW w:w="260" w:type="dxa"/>
            <w:vAlign w:val="bottom"/>
            <w:gridSpan w:val="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615"/>
        </w:trPr>
        <w:tc>
          <w:tcPr>
            <w:tcW w:w="694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Regency Centers, L.P.:</w:t>
            </w:r>
          </w:p>
        </w:tc>
        <w:tc>
          <w:tcPr>
            <w:tcW w:w="3440" w:type="dxa"/>
            <w:vAlign w:val="bottom"/>
            <w:gridSpan w:val="2"/>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640" w:type="dxa"/>
            <w:vAlign w:val="bottom"/>
            <w:gridSpan w:val="3"/>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Consolidated Balance Sheets as of December 31, 2012 and 2011</w:t>
              </w:r>
            </w:hyperlink>
          </w:p>
        </w:tc>
        <w:tc>
          <w:tcPr>
            <w:tcW w:w="5740" w:type="dxa"/>
            <w:vAlign w:val="bottom"/>
            <w:gridSpan w:val="5"/>
          </w:tcPr>
          <w:p>
            <w:pPr>
              <w:spacing w:after="0"/>
              <w:rPr>
                <w:sz w:val="19"/>
                <w:szCs w:val="19"/>
                <w:color w:val="auto"/>
              </w:rPr>
            </w:pPr>
          </w:p>
        </w:tc>
        <w:tc>
          <w:tcPr>
            <w:tcW w:w="260" w:type="dxa"/>
            <w:vAlign w:val="bottom"/>
            <w:gridSpan w:val="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70</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380" w:type="dxa"/>
            <w:vAlign w:val="bottom"/>
            <w:gridSpan w:val="8"/>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Consolidated Statements of Operations for the years ended December 31, 2012, 2011, and 2010</w:t>
              </w:r>
            </w:hyperlink>
          </w:p>
        </w:tc>
        <w:tc>
          <w:tcPr>
            <w:tcW w:w="260" w:type="dxa"/>
            <w:vAlign w:val="bottom"/>
            <w:gridSpan w:val="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71</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320" w:type="dxa"/>
            <w:vAlign w:val="bottom"/>
            <w:gridSpan w:val="7"/>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Consolidated Statements of Comprehensive Income (Loss) for the years ended December 31, 2012, 2011, and 2010</w:t>
              </w:r>
            </w:hyperlink>
          </w:p>
        </w:tc>
        <w:tc>
          <w:tcPr>
            <w:tcW w:w="2060" w:type="dxa"/>
            <w:vAlign w:val="bottom"/>
          </w:tcPr>
          <w:p>
            <w:pPr>
              <w:spacing w:after="0"/>
              <w:rPr>
                <w:sz w:val="21"/>
                <w:szCs w:val="21"/>
                <w:color w:val="auto"/>
              </w:rPr>
            </w:pPr>
          </w:p>
        </w:tc>
        <w:tc>
          <w:tcPr>
            <w:tcW w:w="260" w:type="dxa"/>
            <w:vAlign w:val="bottom"/>
            <w:gridSpan w:val="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72</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74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580" w:type="dxa"/>
            <w:vAlign w:val="bottom"/>
            <w:gridSpan w:val="4"/>
          </w:tcPr>
          <w:p>
            <w:pPr>
              <w:spacing w:after="0"/>
              <w:rPr>
                <w:rFonts w:ascii="Arial" w:cs="Arial" w:eastAsia="Arial" w:hAnsi="Arial"/>
                <w:sz w:val="18"/>
                <w:szCs w:val="18"/>
                <w:color w:val="0000FF"/>
                <w:w w:val="88"/>
              </w:rPr>
            </w:pPr>
            <w:hyperlink w:anchor="page78">
              <w:r>
                <w:rPr>
                  <w:rFonts w:ascii="Arial" w:cs="Arial" w:eastAsia="Arial" w:hAnsi="Arial"/>
                  <w:sz w:val="18"/>
                  <w:szCs w:val="18"/>
                  <w:color w:val="0000FF"/>
                  <w:w w:val="88"/>
                </w:rPr>
                <w:t>Consolidated Statements of Capital for the years ended December 31, 2012, 2011, and 2010</w:t>
              </w:r>
            </w:hyperlink>
          </w:p>
        </w:tc>
        <w:tc>
          <w:tcPr>
            <w:tcW w:w="1740" w:type="dxa"/>
            <w:vAlign w:val="bottom"/>
            <w:gridSpan w:val="3"/>
          </w:tcPr>
          <w:p>
            <w:pPr>
              <w:spacing w:after="0"/>
              <w:rPr>
                <w:sz w:val="21"/>
                <w:szCs w:val="21"/>
                <w:color w:val="auto"/>
              </w:rPr>
            </w:pPr>
          </w:p>
        </w:tc>
        <w:tc>
          <w:tcPr>
            <w:tcW w:w="2060" w:type="dxa"/>
            <w:vAlign w:val="bottom"/>
          </w:tcPr>
          <w:p>
            <w:pPr>
              <w:spacing w:after="0"/>
              <w:rPr>
                <w:sz w:val="21"/>
                <w:szCs w:val="21"/>
                <w:color w:val="auto"/>
              </w:rPr>
            </w:pPr>
          </w:p>
        </w:tc>
        <w:tc>
          <w:tcPr>
            <w:tcW w:w="260" w:type="dxa"/>
            <w:vAlign w:val="bottom"/>
            <w:gridSpan w:val="2"/>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73</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800" w:type="dxa"/>
            <w:vAlign w:val="bottom"/>
            <w:tcBorders>
              <w:left w:val="single" w:sz="8" w:color="0000FF"/>
            </w:tcBorders>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380" w:type="dxa"/>
            <w:vAlign w:val="bottom"/>
            <w:gridSpan w:val="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Cash Flows for the years ended December 31, 2012, 2011, and 2010</w:t>
              </w:r>
            </w:hyperlink>
          </w:p>
        </w:tc>
        <w:tc>
          <w:tcPr>
            <w:tcW w:w="260" w:type="dxa"/>
            <w:vAlign w:val="bottom"/>
            <w:gridSpan w:val="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75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4"/>
        </w:trPr>
        <w:tc>
          <w:tcPr>
            <w:tcW w:w="6940" w:type="dxa"/>
            <w:vAlign w:val="bottom"/>
            <w:gridSpan w:val="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Notes to Consolidated Financial Statements</w:t>
              </w:r>
            </w:hyperlink>
          </w:p>
        </w:tc>
        <w:tc>
          <w:tcPr>
            <w:tcW w:w="3440" w:type="dxa"/>
            <w:vAlign w:val="bottom"/>
            <w:gridSpan w:val="2"/>
          </w:tcPr>
          <w:p>
            <w:pPr>
              <w:spacing w:after="0"/>
              <w:rPr>
                <w:sz w:val="24"/>
                <w:szCs w:val="24"/>
                <w:color w:val="auto"/>
              </w:rPr>
            </w:pPr>
          </w:p>
        </w:tc>
        <w:tc>
          <w:tcPr>
            <w:tcW w:w="260" w:type="dxa"/>
            <w:vAlign w:val="bottom"/>
            <w:gridSpan w:val="2"/>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77</w:t>
              </w:r>
            </w:hyperlink>
          </w:p>
        </w:tc>
      </w:tr>
      <w:tr>
        <w:trPr>
          <w:trHeight w:val="615"/>
        </w:trPr>
        <w:tc>
          <w:tcPr>
            <w:tcW w:w="314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Financial Statement Schedule</w:t>
            </w:r>
          </w:p>
        </w:tc>
        <w:tc>
          <w:tcPr>
            <w:tcW w:w="7240" w:type="dxa"/>
            <w:vAlign w:val="bottom"/>
            <w:gridSpan w:val="7"/>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0380" w:type="dxa"/>
            <w:vAlign w:val="bottom"/>
            <w:gridSpan w:val="8"/>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Schedule III - Consolidated Real Estate and Accumulated Depreciation - December 31, 201</w:t>
              </w:r>
            </w:hyperlink>
            <w:r>
              <w:rPr>
                <w:rFonts w:ascii="Arial" w:cs="Arial" w:eastAsia="Arial" w:hAnsi="Arial"/>
                <w:sz w:val="18"/>
                <w:szCs w:val="18"/>
                <w:color w:val="000000"/>
              </w:rPr>
              <w:t>2</w:t>
            </w:r>
          </w:p>
        </w:tc>
        <w:tc>
          <w:tcPr>
            <w:tcW w:w="260" w:type="dxa"/>
            <w:vAlign w:val="bottom"/>
            <w:gridSpan w:val="2"/>
          </w:tcPr>
          <w:p>
            <w:pPr>
              <w:spacing w:after="0"/>
              <w:rPr>
                <w:rFonts w:ascii="Arial" w:cs="Arial" w:eastAsia="Arial" w:hAnsi="Arial"/>
                <w:sz w:val="18"/>
                <w:szCs w:val="18"/>
                <w:color w:val="0000FF"/>
                <w:w w:val="79"/>
              </w:rPr>
            </w:pPr>
            <w:hyperlink w:anchor="page121">
              <w:r>
                <w:rPr>
                  <w:rFonts w:ascii="Arial" w:cs="Arial" w:eastAsia="Arial" w:hAnsi="Arial"/>
                  <w:sz w:val="18"/>
                  <w:szCs w:val="18"/>
                  <w:color w:val="0000FF"/>
                  <w:w w:val="79"/>
                </w:rPr>
                <w:t>115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56"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materiality or because information required therein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21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have audited the accompanying consolidated balance sheets of Regency Centers Corporation and subsidiaries (the Company) as of December 31, 2012 and 2011, and the related consolidated statements of operations, comprehensive income (loss), equity, and cash flows for each of the years in the three-year period ended December 31, 2012. In connection with our audits of the consolidated financial statements, we also have audited financial statement Schedule III.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Regency Centers Corporation and subsidiaries as of December 31, 2012 and 2011, and the results of their operations and their cash flows for each of the years in the three-year period ended December 31, 2012,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Regency Centers Corporation's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1, 2013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796" w:right="29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We have audited Regency Centers Corporation's (the Company's) internal control over financial reporting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Regency Centers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our opinion, Regency Centers Corporation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Regency Centers Corporation and subsidiaries as of December 31, 2012 and 2011, and the related consolidated statements of operations, comprehensive income (loss), equity, and cash flows for each of the years in the three-year period ended December 31, 2012, and our report dated March 1, 2013 expressed an unqualified opinion on those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0"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Unit Holders of Regency Centers, L.P.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386"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We have audited the accompanying consolidated balance sheets of Regency Centers, L.P. and subsidiaries (the Partnership) as of December 31, 2012 and 2011, and the related consolidated statements of operations, comprehensive income (loss), capital, and cash flows for each of the years in the three-year period ended December 31, 2012. In connection with our audits of the consolidated financial statements, we also have audited financial statement Schedule III. These consolidated financial statements and financial statement schedule are the responsibility of the Partnership's management. Our responsibility is to express an opinion on these consolidated financial statements and financial statement schedule based on our audits.</w:t>
      </w:r>
    </w:p>
    <w:p>
      <w:pPr>
        <w:spacing w:after="0" w:line="11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Regency Centers, L.P. and subsidiaries as of December 31, 2012 and 2011, and the results of their operations and their cash flows for each of the years in the three-year period ended December 31, 2012,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Regency Centers, L.P.'s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1, 2013 expressed an unqualified opinion on the effectiveness of the Partnership's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Unit Holders of Regency Centers, L.P.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Regency Centers, L.P.'s (the Partnership's) internal control over financial reporting as of December 31, 2012,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(COSO). Regency Centers,</w:t>
      </w:r>
      <w:r>
        <w:rPr>
          <w:rFonts w:ascii="Arial" w:cs="Arial" w:eastAsia="Arial" w:hAnsi="Arial"/>
          <w:sz w:val="17"/>
          <w:szCs w:val="17"/>
          <w:i w:val="1"/>
          <w:iCs w:val="1"/>
          <w:color w:val="auto"/>
        </w:rPr>
        <w:t xml:space="preserve"> </w:t>
      </w:r>
      <w:r>
        <w:rPr>
          <w:rFonts w:ascii="Arial" w:cs="Arial" w:eastAsia="Arial" w:hAnsi="Arial"/>
          <w:sz w:val="17"/>
          <w:szCs w:val="17"/>
          <w:color w:val="auto"/>
        </w:rPr>
        <w:t>L.P.'s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w:t>
      </w:r>
    </w:p>
    <w:p>
      <w:pPr>
        <w:spacing w:after="0" w:line="13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In our opinion, Regency Centers, L.P.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Regency Centers, L.P. and subsidiaries as of December 31, 2012 and 2011, and the related consolidated statements of operations, comprehensive income (loss), capital, and cash flows for each of the years in the three-year period ended December 31, 2012, and our report dated March 1, 2013 expressed an unqualified opinion on those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796" w:right="299" w:bottom="1440" w:gutter="0" w:footer="0" w:header="0"/>
        </w:sectPr>
      </w:pPr>
    </w:p>
    <w:bookmarkStart w:id="66" w:name="page67"/>
    <w:bookmarkEnd w:id="66"/>
    <w:p>
      <w:pPr>
        <w:ind w:left="4280"/>
        <w:spacing w:after="0"/>
        <w:rPr>
          <w:sz w:val="20"/>
          <w:szCs w:val="20"/>
          <w:color w:val="auto"/>
        </w:rPr>
      </w:pPr>
      <w:r>
        <w:rPr>
          <w:rFonts w:ascii="Arial" w:cs="Arial" w:eastAsia="Arial" w:hAnsi="Arial"/>
          <w:sz w:val="16"/>
          <w:szCs w:val="16"/>
          <w:b w:val="1"/>
          <w:bCs w:val="1"/>
          <w:color w:val="auto"/>
        </w:rPr>
        <w:t>REGENCY CENTERS CORPORATION</w:t>
      </w:r>
    </w:p>
    <w:p>
      <w:pPr>
        <w:ind w:left="4720"/>
        <w:spacing w:after="0" w:line="223" w:lineRule="auto"/>
        <w:rPr>
          <w:sz w:val="20"/>
          <w:szCs w:val="20"/>
          <w:color w:val="auto"/>
        </w:rPr>
      </w:pPr>
      <w:r>
        <w:rPr>
          <w:rFonts w:ascii="Arial" w:cs="Arial" w:eastAsia="Arial" w:hAnsi="Arial"/>
          <w:sz w:val="16"/>
          <w:szCs w:val="16"/>
          <w:b w:val="1"/>
          <w:bCs w:val="1"/>
          <w:color w:val="auto"/>
        </w:rPr>
        <w:t>Consolidated Balance Sheets</w:t>
      </w:r>
    </w:p>
    <w:p>
      <w:pPr>
        <w:jc w:val="center"/>
        <w:ind w:left="2780"/>
        <w:spacing w:after="0" w:line="212" w:lineRule="auto"/>
        <w:rPr>
          <w:sz w:val="20"/>
          <w:szCs w:val="20"/>
          <w:color w:val="auto"/>
        </w:rPr>
      </w:pPr>
      <w:r>
        <w:rPr>
          <w:rFonts w:ascii="Arial" w:cs="Arial" w:eastAsia="Arial" w:hAnsi="Arial"/>
          <w:sz w:val="16"/>
          <w:szCs w:val="16"/>
          <w:b w:val="1"/>
          <w:bCs w:val="1"/>
          <w:color w:val="auto"/>
        </w:rPr>
        <w:t>December 31, 2012 and 2011</w:t>
      </w:r>
    </w:p>
    <w:p>
      <w:pPr>
        <w:jc w:val="center"/>
        <w:ind w:left="2780"/>
        <w:spacing w:after="0"/>
        <w:rPr>
          <w:sz w:val="20"/>
          <w:szCs w:val="20"/>
          <w:color w:val="auto"/>
        </w:rPr>
      </w:pPr>
      <w:r>
        <w:rPr>
          <w:rFonts w:ascii="Arial" w:cs="Arial" w:eastAsia="Arial" w:hAnsi="Arial"/>
          <w:sz w:val="16"/>
          <w:szCs w:val="16"/>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Assets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 estate investments at cost (notes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Land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Buildings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Properties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Investments in real estate partnerships (note 4)</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real estate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receivable, net of allowance for doubtful accounts of $3,915 and $3,442 at December 31, 2012 and 2011, respectively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Straight-line rent receivable, net of reserve of $870 and $2,075 at December 31,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(note 5)</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costs, less accumulated amortization of $69,224 and $71,265 at December 31,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Acquired lease intangible assets, less accumulated amortization of $19,148 and $15,588 at December 31, 2012 and 2011, respectively (note 6)</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Trading securities held in trust, at fair value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 (note 9)</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Liabilities and Equity</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Notes payable (note 8)</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Unsecured credit facilities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Accounts payable and other liabilities (note 9 and 13)</w:t>
      </w:r>
    </w:p>
    <w:p>
      <w:pPr>
        <w:spacing w:after="0" w:line="177" w:lineRule="exact"/>
        <w:rPr>
          <w:sz w:val="20"/>
          <w:szCs w:val="20"/>
          <w:color w:val="auto"/>
        </w:rPr>
      </w:pPr>
    </w:p>
    <w:p>
      <w:pPr>
        <w:ind w:left="500" w:right="120"/>
        <w:spacing w:after="0" w:line="333" w:lineRule="auto"/>
        <w:rPr>
          <w:sz w:val="20"/>
          <w:szCs w:val="20"/>
          <w:color w:val="auto"/>
        </w:rPr>
      </w:pPr>
      <w:r>
        <w:rPr>
          <w:rFonts w:ascii="Arial" w:cs="Arial" w:eastAsia="Arial" w:hAnsi="Arial"/>
          <w:sz w:val="14"/>
          <w:szCs w:val="14"/>
          <w:color w:val="auto"/>
        </w:rPr>
        <w:t>Acquired lease intangible liabilities, less accumulated accretion of $6,636 and $4,750 at December 31, 2012 and 2011, respectively (note 6) Tenants’ security and escrow deposits and prepaid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(notes 15 and 16)</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Stockholders’ equity (notes 11 and 12):</w:t>
      </w:r>
    </w:p>
    <w:p>
      <w:pPr>
        <w:spacing w:after="0" w:line="109" w:lineRule="exact"/>
        <w:rPr>
          <w:sz w:val="20"/>
          <w:szCs w:val="20"/>
          <w:color w:val="auto"/>
        </w:rPr>
      </w:pPr>
    </w:p>
    <w:p>
      <w:pPr>
        <w:ind w:left="500"/>
        <w:spacing w:after="0" w:line="253" w:lineRule="auto"/>
        <w:rPr>
          <w:sz w:val="20"/>
          <w:szCs w:val="20"/>
          <w:color w:val="auto"/>
        </w:rPr>
      </w:pPr>
      <w:r>
        <w:rPr>
          <w:rFonts w:ascii="Arial" w:cs="Arial" w:eastAsia="Arial" w:hAnsi="Arial"/>
          <w:sz w:val="14"/>
          <w:szCs w:val="14"/>
          <w:color w:val="auto"/>
        </w:rPr>
        <w:t>Preferred stock, $0.01 par value per share, 30,000,000 shares authorized; 13,000,000 and 11,000,000 Series 3-7 shares issued and outstanding at December 31, 2012 and 2011, respectively, with liquidation preferences of $25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500" w:right="20"/>
        <w:spacing w:after="0" w:line="253" w:lineRule="auto"/>
        <w:rPr>
          <w:sz w:val="20"/>
          <w:szCs w:val="20"/>
          <w:color w:val="auto"/>
        </w:rPr>
      </w:pPr>
      <w:r>
        <w:rPr>
          <w:rFonts w:ascii="Arial" w:cs="Arial" w:eastAsia="Arial" w:hAnsi="Arial"/>
          <w:sz w:val="14"/>
          <w:szCs w:val="14"/>
          <w:color w:val="auto"/>
        </w:rPr>
        <w:t>Common stock $0.01 par value per share,150,000,000 shares authorized; 90,394,486 and 89,921,858 shares issued at December 31, 2012 and 2011, respectively</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Treasury stock at cost, 335,347 and 338,714 shares held at December 31,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Additional paid in capital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Distributions in excess of net income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Noncontrolling interests (note 11):</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Series D preferred units, aggregate redemption value of $50,000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Exchangeable operating partnership units, aggregate redemption value of $8,348 and $6,665 at December 31, 2012 and 2011, respectively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Limited partners’ interests in consolidated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noncontrolling interests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liabilities and equity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r>
      <w:tr>
        <w:trPr>
          <w:trHeight w:val="798"/>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1,215,659</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1,273,606</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2,502,186</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2,604,229</w:t>
            </w:r>
          </w:p>
        </w:tc>
      </w:tr>
      <w:tr>
        <w:trPr>
          <w:trHeight w:val="276"/>
        </w:trPr>
        <w:tc>
          <w:tcPr>
            <w:tcW w:w="200" w:type="dxa"/>
            <w:vAlign w:val="bottom"/>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192,067</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224,077</w:t>
            </w:r>
          </w:p>
        </w:tc>
      </w:tr>
      <w:tr>
        <w:trPr>
          <w:trHeight w:val="244"/>
        </w:trPr>
        <w:tc>
          <w:tcPr>
            <w:tcW w:w="2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3,909,912</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4,101,912</w:t>
            </w:r>
          </w:p>
        </w:tc>
      </w:tr>
      <w:tr>
        <w:trPr>
          <w:trHeight w:val="276"/>
        </w:trPr>
        <w:tc>
          <w:tcPr>
            <w:tcW w:w="200" w:type="dxa"/>
            <w:vAlign w:val="bottom"/>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782,749</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791,619</w:t>
            </w:r>
          </w:p>
        </w:tc>
      </w:tr>
      <w:tr>
        <w:trPr>
          <w:trHeight w:val="244"/>
        </w:trPr>
        <w:tc>
          <w:tcPr>
            <w:tcW w:w="2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3,127,163</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3,310,293</w:t>
            </w:r>
          </w:p>
        </w:tc>
      </w:tr>
      <w:tr>
        <w:trPr>
          <w:trHeight w:val="276"/>
        </w:trPr>
        <w:tc>
          <w:tcPr>
            <w:tcW w:w="200" w:type="dxa"/>
            <w:vAlign w:val="bottom"/>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442,927</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386,882</w:t>
            </w:r>
          </w:p>
        </w:tc>
      </w:tr>
      <w:tr>
        <w:trPr>
          <w:trHeight w:val="244"/>
        </w:trPr>
        <w:tc>
          <w:tcPr>
            <w:tcW w:w="2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3,570,090</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3,697,175</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22,349</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11,402</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6,472</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6,050</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26,601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37,733</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49,990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48,132</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23,751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35,784</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69,506</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70,204</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42,459</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27,054</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23,429</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21,713</w:t>
            </w:r>
          </w:p>
        </w:tc>
      </w:tr>
      <w:tr>
        <w:trPr>
          <w:trHeight w:val="276"/>
        </w:trPr>
        <w:tc>
          <w:tcPr>
            <w:tcW w:w="200" w:type="dxa"/>
            <w:vAlign w:val="bottom"/>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18,811</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31,824</w:t>
            </w:r>
          </w:p>
        </w:tc>
      </w:tr>
      <w:tr>
        <w:trPr>
          <w:trHeight w:val="243"/>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3,853,458</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3,987,071</w:t>
            </w:r>
          </w:p>
        </w:tc>
      </w:tr>
      <w:tr>
        <w:trPr>
          <w:trHeight w:val="20"/>
        </w:trPr>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79"/>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1,771,891</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1,942,440</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170,000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40,000</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127,185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101,899</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20,325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12,662</w:t>
            </w:r>
          </w:p>
        </w:tc>
      </w:tr>
      <w:tr>
        <w:trPr>
          <w:trHeight w:val="276"/>
        </w:trPr>
        <w:tc>
          <w:tcPr>
            <w:tcW w:w="200" w:type="dxa"/>
            <w:vAlign w:val="bottom"/>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18,146</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20,416</w:t>
            </w:r>
          </w:p>
        </w:tc>
      </w:tr>
      <w:tr>
        <w:trPr>
          <w:trHeight w:val="250"/>
        </w:trPr>
        <w:tc>
          <w:tcPr>
            <w:tcW w:w="200" w:type="dxa"/>
            <w:vAlign w:val="bottom"/>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2,107,547</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2,117,417</w:t>
            </w:r>
          </w:p>
        </w:tc>
      </w:tr>
      <w:tr>
        <w:trPr>
          <w:trHeight w:val="1149"/>
        </w:trPr>
        <w:tc>
          <w:tcPr>
            <w:tcW w:w="20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275,000</w:t>
            </w:r>
          </w:p>
        </w:tc>
      </w:tr>
      <w:tr>
        <w:trPr>
          <w:trHeight w:val="351"/>
        </w:trPr>
        <w:tc>
          <w:tcPr>
            <w:tcW w:w="20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0"/>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(14,924)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(15,197)</w:t>
            </w:r>
          </w:p>
        </w:tc>
      </w:tr>
      <w:tr>
        <w:trPr>
          <w:trHeight w:val="270"/>
        </w:trPr>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2,312,310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2,281,817</w:t>
            </w:r>
          </w:p>
        </w:tc>
      </w:tr>
      <w:tr>
        <w:trPr>
          <w:trHeight w:val="270"/>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(57,715)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(71,429)</w:t>
            </w:r>
          </w:p>
        </w:tc>
      </w:tr>
      <w:tr>
        <w:trPr>
          <w:trHeight w:val="276"/>
        </w:trPr>
        <w:tc>
          <w:tcPr>
            <w:tcW w:w="20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(834,810)</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(662,735)</w:t>
            </w:r>
          </w:p>
        </w:tc>
      </w:tr>
      <w:tr>
        <w:trPr>
          <w:trHeight w:val="250"/>
        </w:trPr>
        <w:tc>
          <w:tcPr>
            <w:tcW w:w="200" w:type="dxa"/>
            <w:vAlign w:val="bottom"/>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1,730,765</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1,808,355</w:t>
            </w:r>
          </w:p>
        </w:tc>
      </w:tr>
      <w:tr>
        <w:trPr>
          <w:trHeight w:val="528"/>
        </w:trPr>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49,158</w:t>
            </w:r>
          </w:p>
        </w:tc>
      </w:tr>
      <w:tr>
        <w:trPr>
          <w:trHeight w:val="270"/>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(963)</w:t>
            </w:r>
          </w:p>
        </w:tc>
      </w:tr>
      <w:tr>
        <w:trPr>
          <w:trHeight w:val="276"/>
        </w:trPr>
        <w:tc>
          <w:tcPr>
            <w:tcW w:w="200" w:type="dxa"/>
            <w:vAlign w:val="bottom"/>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16,299</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13,104</w:t>
            </w:r>
          </w:p>
        </w:tc>
      </w:tr>
      <w:tr>
        <w:trPr>
          <w:trHeight w:val="250"/>
        </w:trPr>
        <w:tc>
          <w:tcPr>
            <w:tcW w:w="200" w:type="dxa"/>
            <w:vAlign w:val="bottom"/>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15,146</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61,299</w:t>
            </w:r>
          </w:p>
        </w:tc>
      </w:tr>
      <w:tr>
        <w:trPr>
          <w:trHeight w:val="250"/>
        </w:trPr>
        <w:tc>
          <w:tcPr>
            <w:tcW w:w="200" w:type="dxa"/>
            <w:vAlign w:val="bottom"/>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1,745,911</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1,869,654</w:t>
            </w:r>
          </w:p>
        </w:tc>
      </w:tr>
      <w:tr>
        <w:trPr>
          <w:trHeight w:val="243"/>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3,853,458</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3,987,071</w:t>
            </w:r>
          </w:p>
        </w:tc>
      </w:tr>
      <w:tr>
        <w:trPr>
          <w:trHeight w:val="20"/>
        </w:trPr>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ectPr>
          <w:pgSz w:w="11900" w:h="16838" w:orient="portrait"/>
          <w:cols w:equalWidth="0" w:num="2">
            <w:col w:w="8660" w:space="160"/>
            <w:col w:w="2600"/>
          </w:cols>
          <w:pgMar w:left="240" w:top="801" w:right="2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801" w:right="239" w:bottom="1440" w:gutter="0" w:footer="0" w:header="0"/>
          <w:type w:val="continuous"/>
        </w:sectPr>
      </w:pPr>
    </w:p>
    <w:bookmarkStart w:id="67" w:name="page68"/>
    <w:bookmarkEnd w:id="67"/>
    <w:p>
      <w:pPr>
        <w:jc w:val="center"/>
        <w:ind w:right="-479"/>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Minimum rent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359,350</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350,223</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332,159</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Percentage 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Recoveries from tenants and other income</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107,732</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105,899</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104,092</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Management, transaction, and other fees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33,980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29,400</w:t>
            </w:r>
          </w:p>
        </w:tc>
        <w:tc>
          <w:tcPr>
            <w:tcW w:w="0" w:type="dxa"/>
            <w:vAlign w:val="bottom"/>
          </w:tcPr>
          <w:p>
            <w:pPr>
              <w:spacing w:after="0"/>
              <w:rPr>
                <w:sz w:val="1"/>
                <w:szCs w:val="1"/>
                <w:color w:val="auto"/>
              </w:rPr>
            </w:pPr>
          </w:p>
        </w:tc>
      </w:tr>
      <w:tr>
        <w:trPr>
          <w:trHeight w:val="217"/>
        </w:trPr>
        <w:tc>
          <w:tcPr>
            <w:tcW w:w="6220" w:type="dxa"/>
            <w:vAlign w:val="bottom"/>
          </w:tcPr>
          <w:p>
            <w:pPr>
              <w:ind w:left="92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496,920</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493,098</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468,191</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126,808</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128,963</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118,398</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Operating and 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67,514</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61,700</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56,117</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61,505</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Real estate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52,386</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7,246</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6,719</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6,297</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318,128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306,100</w:t>
            </w:r>
          </w:p>
        </w:tc>
        <w:tc>
          <w:tcPr>
            <w:tcW w:w="0" w:type="dxa"/>
            <w:vAlign w:val="bottom"/>
          </w:tcPr>
          <w:p>
            <w:pPr>
              <w:spacing w:after="0"/>
              <w:rPr>
                <w:sz w:val="1"/>
                <w:szCs w:val="1"/>
                <w:color w:val="auto"/>
              </w:rPr>
            </w:pPr>
          </w:p>
        </w:tc>
      </w:tr>
      <w:tr>
        <w:trPr>
          <w:trHeight w:val="204"/>
        </w:trPr>
        <w:tc>
          <w:tcPr>
            <w:tcW w:w="622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4"/>
              </w:rPr>
              <w:t>Interest expense, net of interest income of $1,675, $2,442, and $2,408 in 2012, 2011,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and 2010, respectively (note 9)</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112,129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123,645</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125,287</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Provision for impairment</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74,816</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12,424</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19,886</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Early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20"/>
        </w:trPr>
        <w:tc>
          <w:tcPr>
            <w:tcW w:w="6220" w:type="dxa"/>
            <w:vAlign w:val="bottom"/>
          </w:tcPr>
          <w:p>
            <w:pPr>
              <w:ind w:left="480"/>
              <w:spacing w:after="0"/>
              <w:rPr>
                <w:sz w:val="20"/>
                <w:szCs w:val="20"/>
                <w:color w:val="auto"/>
              </w:rPr>
            </w:pPr>
            <w:r>
              <w:rPr>
                <w:rFonts w:ascii="Arial" w:cs="Arial" w:eastAsia="Arial" w:hAnsi="Arial"/>
                <w:sz w:val="16"/>
                <w:szCs w:val="16"/>
                <w:color w:val="auto"/>
                <w:w w:val="96"/>
              </w:rPr>
              <w:t>Net investment (income) loss from deferred compensation plan, including unrealized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80"/>
              <w:spacing w:after="0"/>
              <w:rPr>
                <w:sz w:val="20"/>
                <w:szCs w:val="20"/>
                <w:color w:val="auto"/>
              </w:rPr>
            </w:pPr>
            <w:r>
              <w:rPr>
                <w:rFonts w:ascii="Arial" w:cs="Arial" w:eastAsia="Arial" w:hAnsi="Arial"/>
                <w:sz w:val="16"/>
                <w:szCs w:val="16"/>
                <w:color w:val="auto"/>
                <w:w w:val="91"/>
              </w:rPr>
              <w:t>(gains) losses of $(888), $567, and $(1,342) in 2012, 2011, and 2010, respectively (note</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tcPr>
          <w:p>
            <w:pPr>
              <w:ind w:left="48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other expense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185,740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136,275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147,434</w:t>
            </w:r>
          </w:p>
        </w:tc>
        <w:tc>
          <w:tcPr>
            <w:tcW w:w="0" w:type="dxa"/>
            <w:vAlign w:val="bottom"/>
          </w:tcPr>
          <w:p>
            <w:pPr>
              <w:spacing w:after="0"/>
              <w:rPr>
                <w:sz w:val="1"/>
                <w:szCs w:val="1"/>
                <w:color w:val="auto"/>
              </w:rPr>
            </w:pPr>
          </w:p>
        </w:tc>
      </w:tr>
      <w:tr>
        <w:trPr>
          <w:trHeight w:val="200"/>
        </w:trPr>
        <w:tc>
          <w:tcPr>
            <w:tcW w:w="6220" w:type="dxa"/>
            <w:vAlign w:val="bottom"/>
          </w:tcPr>
          <w:p>
            <w:pPr>
              <w:ind w:left="920"/>
              <w:spacing w:after="0"/>
              <w:rPr>
                <w:sz w:val="20"/>
                <w:szCs w:val="20"/>
                <w:color w:val="auto"/>
              </w:rPr>
            </w:pPr>
            <w:r>
              <w:rPr>
                <w:rFonts w:ascii="Arial" w:cs="Arial" w:eastAsia="Arial" w:hAnsi="Arial"/>
                <w:sz w:val="16"/>
                <w:szCs w:val="16"/>
                <w:color w:val="auto"/>
              </w:rPr>
              <w:t>(Loss) income before equity in income (loss) of investments in real estate</w:t>
            </w:r>
          </w:p>
        </w:tc>
        <w:tc>
          <w:tcPr>
            <w:tcW w:w="2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tcPr>
          <w:p>
            <w:pPr>
              <w:ind w:left="920"/>
              <w:spacing w:after="0"/>
              <w:rPr>
                <w:sz w:val="20"/>
                <w:szCs w:val="20"/>
                <w:color w:val="auto"/>
              </w:rPr>
            </w:pPr>
            <w:r>
              <w:rPr>
                <w:rFonts w:ascii="Arial" w:cs="Arial" w:eastAsia="Arial" w:hAnsi="Arial"/>
                <w:sz w:val="16"/>
                <w:szCs w:val="16"/>
                <w:color w:val="auto"/>
              </w:rPr>
              <w:t>partnerships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(10,078)</w:t>
            </w:r>
          </w:p>
        </w:tc>
        <w:tc>
          <w:tcPr>
            <w:tcW w:w="1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38,695</w:t>
            </w:r>
          </w:p>
        </w:tc>
        <w:tc>
          <w:tcPr>
            <w:tcW w:w="1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income (loss) of investments in real estate partnerships (note 4)</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23,807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(12,884)</w:t>
            </w:r>
          </w:p>
        </w:tc>
        <w:tc>
          <w:tcPr>
            <w:tcW w:w="0" w:type="dxa"/>
            <w:vAlign w:val="bottom"/>
          </w:tcPr>
          <w:p>
            <w:pPr>
              <w:spacing w:after="0"/>
              <w:rPr>
                <w:sz w:val="1"/>
                <w:szCs w:val="1"/>
                <w:color w:val="auto"/>
              </w:rPr>
            </w:pPr>
          </w:p>
        </w:tc>
      </w:tr>
      <w:tr>
        <w:trPr>
          <w:trHeight w:val="217"/>
        </w:trPr>
        <w:tc>
          <w:tcPr>
            <w:tcW w:w="6220" w:type="dxa"/>
            <w:vAlign w:val="bottom"/>
          </w:tcPr>
          <w:p>
            <w:pPr>
              <w:ind w:left="920"/>
              <w:spacing w:after="0"/>
              <w:rPr>
                <w:sz w:val="20"/>
                <w:szCs w:val="20"/>
                <w:color w:val="auto"/>
              </w:rPr>
            </w:pPr>
            <w:r>
              <w:rPr>
                <w:rFonts w:ascii="Arial" w:cs="Arial" w:eastAsia="Arial" w:hAnsi="Arial"/>
                <w:sz w:val="16"/>
                <w:szCs w:val="16"/>
                <w:color w:val="auto"/>
              </w:rPr>
              <w:t>Income from continuing operations before tax</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13,729</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48,338</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 of taxable REIT subsidiary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7"/>
        </w:trPr>
        <w:tc>
          <w:tcPr>
            <w:tcW w:w="6220" w:type="dxa"/>
            <w:vAlign w:val="bottom"/>
          </w:tcPr>
          <w:p>
            <w:pPr>
              <w:ind w:left="92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45,344</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Discontinued operations, net (note 3):</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2,098</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Gain on sale of operating properties, net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7,577</w:t>
            </w:r>
          </w:p>
        </w:tc>
        <w:tc>
          <w:tcPr>
            <w:tcW w:w="0" w:type="dxa"/>
            <w:vAlign w:val="bottom"/>
          </w:tcPr>
          <w:p>
            <w:pPr>
              <w:spacing w:after="0"/>
              <w:rPr>
                <w:sz w:val="1"/>
                <w:szCs w:val="1"/>
                <w:color w:val="auto"/>
              </w:rPr>
            </w:pPr>
          </w:p>
        </w:tc>
      </w:tr>
      <w:tr>
        <w:trPr>
          <w:trHeight w:val="217"/>
        </w:trPr>
        <w:tc>
          <w:tcPr>
            <w:tcW w:w="6220" w:type="dxa"/>
            <w:vAlign w:val="bottom"/>
          </w:tcPr>
          <w:p>
            <w:pPr>
              <w:ind w:left="920"/>
              <w:spacing w:after="0"/>
              <w:rPr>
                <w:sz w:val="20"/>
                <w:szCs w:val="20"/>
                <w:color w:val="auto"/>
              </w:rPr>
            </w:pPr>
            <w:r>
              <w:rPr>
                <w:rFonts w:ascii="Arial" w:cs="Arial" w:eastAsia="Arial" w:hAnsi="Arial"/>
                <w:sz w:val="16"/>
                <w:szCs w:val="16"/>
                <w:color w:val="auto"/>
              </w:rPr>
              <w:t>Income from discontinued operations</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23,546</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8,040</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8,902</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Income before gain on sale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53,384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12,008</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color w:val="auto"/>
              </w:rPr>
              <w:t>Gain on sale of real estate</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55,788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13,001</w:t>
            </w:r>
          </w:p>
        </w:tc>
        <w:tc>
          <w:tcPr>
            <w:tcW w:w="0" w:type="dxa"/>
            <w:vAlign w:val="bottom"/>
          </w:tcPr>
          <w:p>
            <w:pPr>
              <w:spacing w:after="0"/>
              <w:rPr>
                <w:sz w:val="1"/>
                <w:szCs w:val="1"/>
                <w:color w:val="auto"/>
              </w:rPr>
            </w:pPr>
          </w:p>
        </w:tc>
      </w:tr>
      <w:tr>
        <w:trPr>
          <w:trHeight w:val="204"/>
        </w:trPr>
        <w:tc>
          <w:tcPr>
            <w:tcW w:w="62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Preferred units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Exchangeable operating partnership units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Limited partners’ interests in consolidated partnerships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7"/>
        </w:trPr>
        <w:tc>
          <w:tcPr>
            <w:tcW w:w="6220" w:type="dxa"/>
            <w:vAlign w:val="bottom"/>
          </w:tcPr>
          <w:p>
            <w:pPr>
              <w:ind w:left="920"/>
              <w:spacing w:after="0"/>
              <w:rPr>
                <w:sz w:val="20"/>
                <w:szCs w:val="20"/>
                <w:color w:val="auto"/>
              </w:rPr>
            </w:pPr>
            <w:r>
              <w:rPr>
                <w:rFonts w:ascii="Arial" w:cs="Arial" w:eastAsia="Arial" w:hAnsi="Arial"/>
                <w:sz w:val="16"/>
                <w:szCs w:val="16"/>
                <w:color w:val="auto"/>
              </w:rPr>
              <w:t>Income attributable to noncontrolling interests</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(4,185)</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income attributable to the Company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25,867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51,370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8,816</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color w:val="auto"/>
              </w:rPr>
              <w:t>Preferred stock dividends</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(32,531)</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(19,675)</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(19,675)</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(loss) income attributable to common stockholders</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31,695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(10,859)</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(Loss) income per common share - basic (note 14):</w:t>
            </w: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Continuing operations</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(loss) income attributable to common stockholders</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(Loss) income per common share - diluted (note 14):</w:t>
            </w: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Continuing operations</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(loss) income attributable to common stockholders</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0420"/>
          </w:cols>
          <w:pgMar w:left="500" w:top="585" w:right="979" w:bottom="0" w:gutter="0" w:footer="0" w:header="0"/>
        </w:sectPr>
      </w:pPr>
    </w:p>
    <w:p>
      <w:pPr>
        <w:spacing w:after="0" w:line="24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420"/>
          </w:cols>
          <w:pgMar w:left="500" w:top="585" w:right="979" w:bottom="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55,788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13,001</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settlement of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Unrealized loss on derivative instruments</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(61,625)</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Amortization of loss on settlement of derivative instruments recognized in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9,466</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Effective portion of change in fair value of derivative instruments: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portion of change in fair value of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28,363</w:t>
            </w:r>
          </w:p>
        </w:tc>
      </w:tr>
      <w:tr>
        <w:trPr>
          <w:trHeight w:val="229"/>
        </w:trPr>
        <w:tc>
          <w:tcPr>
            <w:tcW w:w="5720" w:type="dxa"/>
            <w:vAlign w:val="bottom"/>
          </w:tcPr>
          <w:p>
            <w:pPr>
              <w:ind w:left="280"/>
              <w:spacing w:after="0"/>
              <w:rPr>
                <w:sz w:val="20"/>
                <w:szCs w:val="20"/>
                <w:color w:val="auto"/>
              </w:rPr>
            </w:pPr>
            <w:r>
              <w:rPr>
                <w:rFonts w:ascii="Arial" w:cs="Arial" w:eastAsia="Arial" w:hAnsi="Arial"/>
                <w:sz w:val="18"/>
                <w:szCs w:val="18"/>
                <w:color w:val="auto"/>
                <w:w w:val="98"/>
              </w:rPr>
              <w:t>Less: reclassification adjustment for change in fair value of derivative</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instruments included in net income</w:t>
            </w:r>
          </w:p>
        </w:tc>
        <w:tc>
          <w:tcPr>
            <w:tcW w:w="2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(3,294)</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(30,981)</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39,920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65,273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(17,980)</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Less: comprehensive income (loss) attributable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4,185</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Other comprehensive (loss)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4,116</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the Company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39,581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60,826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(22,096)</w:t>
            </w: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80"/>
          </w:cols>
          <w:pgMar w:left="660" w:top="585" w:right="659" w:bottom="1440" w:gutter="0" w:footer="0" w:header="0"/>
        </w:sectPr>
      </w:pPr>
    </w:p>
    <w:bookmarkStart w:id="69" w:name="page70"/>
    <w:bookmarkEnd w:id="69"/>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8"/>
          <w:szCs w:val="18"/>
          <w:b w:val="1"/>
          <w:bCs w:val="1"/>
          <w:color w:val="auto"/>
        </w:rPr>
        <w:t>years</w:t>
      </w:r>
      <w:r>
        <w:rPr>
          <w:rFonts w:ascii="Arial" w:cs="Arial" w:eastAsia="Arial" w:hAnsi="Arial"/>
          <w:sz w:val="16"/>
          <w:szCs w:val="16"/>
          <w:b w:val="1"/>
          <w:bCs w:val="1"/>
          <w:color w:val="auto"/>
        </w:rPr>
        <w:t xml:space="preserve"> ended </w:t>
      </w:r>
      <w:r>
        <w:rPr>
          <w:rFonts w:ascii="Arial" w:cs="Arial" w:eastAsia="Arial" w:hAnsi="Arial"/>
          <w:sz w:val="18"/>
          <w:szCs w:val="18"/>
          <w:b w:val="1"/>
          <w:bCs w:val="1"/>
          <w:color w:val="auto"/>
        </w:rPr>
        <w:t>December 31, 2012</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2011</w:t>
      </w:r>
      <w:r>
        <w:rPr>
          <w:rFonts w:ascii="Arial" w:cs="Arial" w:eastAsia="Arial" w:hAnsi="Arial"/>
          <w:sz w:val="16"/>
          <w:szCs w:val="16"/>
          <w:b w:val="1"/>
          <w:bCs w:val="1"/>
          <w:color w:val="auto"/>
        </w:rPr>
        <w:t xml:space="preserve">, and </w:t>
      </w:r>
      <w:r>
        <w:rPr>
          <w:rFonts w:ascii="Arial" w:cs="Arial" w:eastAsia="Arial" w:hAnsi="Arial"/>
          <w:sz w:val="18"/>
          <w:szCs w:val="18"/>
          <w:b w:val="1"/>
          <w:bCs w:val="1"/>
          <w:color w:val="auto"/>
        </w:rPr>
        <w:t>2010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340"/>
              <w:spacing w:after="0"/>
              <w:rPr>
                <w:sz w:val="20"/>
                <w:szCs w:val="20"/>
                <w:color w:val="auto"/>
              </w:rPr>
            </w:pPr>
            <w:r>
              <w:rPr>
                <w:rFonts w:ascii="Arial" w:cs="Arial" w:eastAsia="Arial" w:hAnsi="Arial"/>
                <w:sz w:val="13"/>
                <w:szCs w:val="13"/>
                <w:b w:val="1"/>
                <w:bCs w:val="1"/>
                <w:color w:val="auto"/>
                <w:w w:val="95"/>
              </w:rPr>
              <w:t>Noncontrolling Interests</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r>
      <w:tr>
        <w:trPr>
          <w:trHeight w:val="144"/>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5"/>
              </w:rPr>
              <w:t>Limited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Exchangeable</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Partners’</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Operating</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760" w:type="dxa"/>
            <w:vAlign w:val="bottom"/>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Preferred</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Paid In</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in Excess 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Preferred</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Partnership</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Consolidated</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760" w:type="dxa"/>
            <w:vAlign w:val="bottom"/>
          </w:tcPr>
          <w:p>
            <w:pPr>
              <w:jc w:val="right"/>
              <w:ind w:right="21"/>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8"/>
              </w:rPr>
              <w:t>Loss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Net Income</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Partnerships</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Interests</w:t>
            </w:r>
          </w:p>
        </w:tc>
        <w:tc>
          <w:tcPr>
            <w:tcW w:w="760" w:type="dxa"/>
            <w:vAlign w:val="bottom"/>
          </w:tcPr>
          <w:p>
            <w:pPr>
              <w:jc w:val="right"/>
              <w:ind w:right="21"/>
              <w:spacing w:after="0"/>
              <w:rPr>
                <w:sz w:val="20"/>
                <w:szCs w:val="20"/>
                <w:color w:val="auto"/>
              </w:rPr>
            </w:pPr>
            <w:r>
              <w:rPr>
                <w:rFonts w:ascii="Arial" w:cs="Arial" w:eastAsia="Arial" w:hAnsi="Arial"/>
                <w:sz w:val="13"/>
                <w:szCs w:val="13"/>
                <w:b w:val="1"/>
                <w:bCs w:val="1"/>
                <w:color w:val="auto"/>
              </w:rPr>
              <w:t>Equity</w:t>
            </w:r>
          </w:p>
        </w:tc>
      </w:tr>
      <w:tr>
        <w:trPr>
          <w:trHeight w:val="202"/>
        </w:trPr>
        <w:tc>
          <w:tcPr>
            <w:tcW w:w="1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3"/>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2009</w:t>
            </w:r>
          </w:p>
        </w:tc>
        <w:tc>
          <w:tcPr>
            <w:tcW w:w="8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95"/>
              </w:rPr>
              <w:t>$ 275,000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815</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(16,509)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2,024,883</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(49,973)</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(371,836)</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92"/>
              </w:rPr>
              <w:t>1,862,380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93"/>
              </w:rPr>
              <w:t>49,158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7,321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11,748</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68,227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1,930,607</w:t>
            </w:r>
          </w:p>
        </w:tc>
      </w:tr>
      <w:tr>
        <w:trPr>
          <w:trHeight w:val="237"/>
        </w:trPr>
        <w:tc>
          <w:tcPr>
            <w:tcW w:w="1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8,816</w:t>
            </w: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8,816</w:t>
            </w:r>
          </w:p>
        </w:tc>
        <w:tc>
          <w:tcPr>
            <w:tcW w:w="1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4,185</w:t>
            </w: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13,001</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(30,912)</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(30,912)</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(30,981)</w:t>
            </w: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Deferred</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plan, net (note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7,236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7,236</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7,236</w:t>
            </w: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redeemed for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w w:val="94"/>
              </w:rPr>
              <w:t>taxes withheld for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stock based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net</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(1,374)</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(1,374)</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issued for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reinvestment plan</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1,848</w:t>
            </w: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issued for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w w:val="99"/>
              </w:rPr>
              <w:t>partnership units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exchanged</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7,627</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7,630</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(7,630)</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(7,630)</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from partners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w:t>
            </w: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partners</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(1,456)</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declared:</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20"/>
        </w:trPr>
        <w:tc>
          <w:tcPr>
            <w:tcW w:w="1240" w:type="dxa"/>
            <w:vAlign w:val="bottom"/>
          </w:tcPr>
          <w:p>
            <w:pPr>
              <w:ind w:left="280"/>
              <w:spacing w:after="0"/>
              <w:rPr>
                <w:sz w:val="20"/>
                <w:szCs w:val="20"/>
                <w:color w:val="auto"/>
              </w:rPr>
            </w:pPr>
            <w:r>
              <w:rPr>
                <w:rFonts w:ascii="Arial" w:cs="Arial" w:eastAsia="Arial" w:hAnsi="Arial"/>
                <w:sz w:val="16"/>
                <w:szCs w:val="16"/>
                <w:color w:val="auto"/>
              </w:rPr>
              <w:t>Preferred</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1240" w:type="dxa"/>
            <w:vAlign w:val="bottom"/>
          </w:tcPr>
          <w:p>
            <w:pPr>
              <w:ind w:left="280"/>
              <w:spacing w:after="0"/>
              <w:rPr>
                <w:sz w:val="20"/>
                <w:szCs w:val="20"/>
                <w:color w:val="auto"/>
              </w:rPr>
            </w:pPr>
            <w:r>
              <w:rPr>
                <w:rFonts w:ascii="Arial" w:cs="Arial" w:eastAsia="Arial" w:hAnsi="Arial"/>
                <w:sz w:val="16"/>
                <w:szCs w:val="16"/>
                <w:color w:val="auto"/>
              </w:rPr>
              <w:t>stock/unit</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(19,675)</w:t>
            </w:r>
          </w:p>
        </w:tc>
        <w:tc>
          <w:tcPr>
            <w:tcW w:w="12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(19,675)</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(3,725)</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(23,400)</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1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stock/unit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($1.85 per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9"/>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(150,499)</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(150,499)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(150,967)</w:t>
            </w:r>
          </w:p>
        </w:tc>
      </w:tr>
      <w:tr>
        <w:trPr>
          <w:trHeight w:val="196"/>
        </w:trPr>
        <w:tc>
          <w:tcPr>
            <w:tcW w:w="1240" w:type="dxa"/>
            <w:vAlign w:val="bottom"/>
          </w:tcPr>
          <w:p>
            <w:pPr>
              <w:ind w:left="40"/>
              <w:spacing w:after="0"/>
              <w:rPr>
                <w:sz w:val="20"/>
                <w:szCs w:val="20"/>
                <w:color w:val="auto"/>
              </w:rPr>
            </w:pPr>
            <w:r>
              <w:rPr>
                <w:rFonts w:ascii="Arial" w:cs="Arial" w:eastAsia="Arial" w:hAnsi="Arial"/>
                <w:sz w:val="16"/>
                <w:szCs w:val="16"/>
                <w:b w:val="1"/>
                <w:bCs w:val="1"/>
                <w:color w:val="auto"/>
              </w:rPr>
              <w:t>Balance at</w:t>
            </w: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1240" w:type="dxa"/>
            <w:vAlign w:val="bottom"/>
          </w:tcPr>
          <w:p>
            <w:pPr>
              <w:ind w:left="40"/>
              <w:spacing w:after="0"/>
              <w:rPr>
                <w:sz w:val="20"/>
                <w:szCs w:val="20"/>
                <w:color w:val="auto"/>
              </w:rPr>
            </w:pPr>
            <w:r>
              <w:rPr>
                <w:rFonts w:ascii="Arial" w:cs="Arial" w:eastAsia="Arial" w:hAnsi="Arial"/>
                <w:sz w:val="16"/>
                <w:szCs w:val="16"/>
                <w:b w:val="1"/>
                <w:bCs w:val="1"/>
                <w:color w:val="auto"/>
              </w:rPr>
              <w:t>2010</w:t>
            </w:r>
          </w:p>
        </w:tc>
        <w:tc>
          <w:tcPr>
            <w:tcW w:w="8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5"/>
              </w:rPr>
              <w:t>$ 275,000</w:t>
            </w:r>
          </w:p>
        </w:tc>
        <w:tc>
          <w:tcPr>
            <w:tcW w:w="120" w:type="dxa"/>
            <w:vAlign w:val="bottom"/>
          </w:tcPr>
          <w:p>
            <w:pPr>
              <w:spacing w:after="0"/>
              <w:rPr>
                <w:sz w:val="18"/>
                <w:szCs w:val="18"/>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b w:val="1"/>
                <w:bCs w:val="1"/>
                <w:color w:val="auto"/>
              </w:rPr>
              <w:t>819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w w:val="97"/>
              </w:rPr>
              <w:t>(16,175)</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b w:val="1"/>
                <w:bCs w:val="1"/>
                <w:color w:val="auto"/>
                <w:w w:val="89"/>
              </w:rPr>
              <w:t>2,039,612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(80,885)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6"/>
              </w:rPr>
              <w:t>(533,194)</w:t>
            </w: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w w:val="92"/>
              </w:rPr>
              <w:t>1,685,177</w:t>
            </w:r>
          </w:p>
        </w:tc>
        <w:tc>
          <w:tcPr>
            <w:tcW w:w="10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w w:val="93"/>
              </w:rPr>
              <w:t>49,158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(762)</w:t>
            </w:r>
          </w:p>
        </w:tc>
        <w:tc>
          <w:tcPr>
            <w:tcW w:w="12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b w:val="1"/>
                <w:bCs w:val="1"/>
                <w:color w:val="auto"/>
              </w:rPr>
              <w:t>10,829</w:t>
            </w:r>
          </w:p>
        </w:tc>
        <w:tc>
          <w:tcPr>
            <w:tcW w:w="1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59,225</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b w:val="1"/>
                <w:bCs w:val="1"/>
                <w:color w:val="auto"/>
                <w:w w:val="89"/>
              </w:rPr>
              <w:t>1,744,402</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51,370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51,370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55,788</w:t>
            </w: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comprehensive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9,456</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9,456</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9,485</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net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16,865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17,843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17,843</w:t>
            </w: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restricted stock</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issued</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10,659</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10,659</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10,659</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redeemed for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taxes withheld for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based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issued for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dividend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w w:val="93"/>
              </w:rPr>
              <w:t>reinvestment plan</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1,081</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11"/>
        </w:trPr>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909"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80</w:t>
            </w:r>
          </w:p>
        </w:tc>
        <w:tc>
          <w:tcPr>
            <w:tcW w:w="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215,289</w:t>
            </w:r>
          </w:p>
        </w:tc>
        <w:tc>
          <w:tcPr>
            <w:tcW w:w="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215,369</w:t>
            </w: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215,369</w:t>
            </w:r>
          </w:p>
        </w:tc>
      </w:tr>
      <w:tr>
        <w:trPr>
          <w:trHeight w:val="203"/>
        </w:trPr>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issued for stock</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offerings, net of</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9"/>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costs</w:t>
            </w:r>
          </w:p>
        </w:tc>
        <w:tc>
          <w:tcPr>
            <w:tcW w:w="7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20"/>
        </w:trPr>
        <w:tc>
          <w:tcPr>
            <w:tcW w:w="142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1420" w:type="dxa"/>
            <w:vAlign w:val="bottom"/>
          </w:tcPr>
          <w:p>
            <w:pPr>
              <w:ind w:left="40"/>
              <w:spacing w:after="0"/>
              <w:rPr>
                <w:sz w:val="20"/>
                <w:szCs w:val="20"/>
                <w:color w:val="auto"/>
              </w:rPr>
            </w:pPr>
            <w:r>
              <w:rPr>
                <w:rFonts w:ascii="Arial" w:cs="Arial" w:eastAsia="Arial" w:hAnsi="Arial"/>
                <w:sz w:val="16"/>
                <w:szCs w:val="16"/>
                <w:color w:val="auto"/>
              </w:rPr>
              <w:t>from partners</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tcPr>
          <w:p>
            <w:pPr>
              <w:ind w:lef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4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40" w:type="dxa"/>
            <w:vAlign w:val="bottom"/>
          </w:tcPr>
          <w:p>
            <w:pPr>
              <w:ind w:left="3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2,787</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2,787</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2,787</w:t>
            </w:r>
          </w:p>
        </w:tc>
      </w:tr>
      <w:tr>
        <w:trPr>
          <w:trHeight w:val="33"/>
        </w:trPr>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w:t>
            </w:r>
          </w:p>
        </w:tc>
        <w:tc>
          <w:tcPr>
            <w:tcW w:w="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(1,111)</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20"/>
        </w:trPr>
        <w:tc>
          <w:tcPr>
            <w:tcW w:w="1420" w:type="dxa"/>
            <w:vAlign w:val="bottom"/>
          </w:tcPr>
          <w:p>
            <w:pPr>
              <w:ind w:left="40"/>
              <w:spacing w:after="0"/>
              <w:rPr>
                <w:sz w:val="20"/>
                <w:szCs w:val="20"/>
                <w:color w:val="auto"/>
              </w:rPr>
            </w:pPr>
            <w:r>
              <w:rPr>
                <w:rFonts w:ascii="Arial" w:cs="Arial" w:eastAsia="Arial" w:hAnsi="Arial"/>
                <w:sz w:val="16"/>
                <w:szCs w:val="16"/>
                <w:color w:val="auto"/>
              </w:rPr>
              <w:t>Cash dividends</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1420" w:type="dxa"/>
            <w:vAlign w:val="bottom"/>
          </w:tcPr>
          <w:p>
            <w:pPr>
              <w:ind w:left="40"/>
              <w:spacing w:after="0"/>
              <w:rPr>
                <w:sz w:val="20"/>
                <w:szCs w:val="20"/>
                <w:color w:val="auto"/>
              </w:rPr>
            </w:pPr>
            <w:r>
              <w:rPr>
                <w:rFonts w:ascii="Arial" w:cs="Arial" w:eastAsia="Arial" w:hAnsi="Arial"/>
                <w:sz w:val="16"/>
                <w:szCs w:val="16"/>
                <w:color w:val="auto"/>
              </w:rPr>
              <w:t>declared:</w:t>
            </w: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3"/>
        </w:trPr>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06"/>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stock/unit</w:t>
            </w:r>
          </w:p>
        </w:tc>
        <w:tc>
          <w:tcPr>
            <w:tcW w:w="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(19,675)</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(19,675)</w:t>
            </w:r>
          </w:p>
        </w:tc>
        <w:tc>
          <w:tcPr>
            <w:tcW w:w="9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(3,725)</w:t>
            </w:r>
          </w:p>
        </w:tc>
        <w:tc>
          <w:tcPr>
            <w:tcW w:w="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(3,725)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(23,400)</w:t>
            </w:r>
          </w:p>
        </w:tc>
      </w:tr>
      <w:tr>
        <w:trPr>
          <w:trHeight w:val="33"/>
        </w:trPr>
        <w:tc>
          <w:tcPr>
            <w:tcW w:w="1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8"/>
          <w:szCs w:val="18"/>
          <w:b w:val="1"/>
          <w:bCs w:val="1"/>
          <w:color w:val="auto"/>
        </w:rPr>
        <w:t>years</w:t>
      </w:r>
      <w:r>
        <w:rPr>
          <w:rFonts w:ascii="Arial" w:cs="Arial" w:eastAsia="Arial" w:hAnsi="Arial"/>
          <w:sz w:val="16"/>
          <w:szCs w:val="16"/>
          <w:b w:val="1"/>
          <w:bCs w:val="1"/>
          <w:color w:val="auto"/>
        </w:rPr>
        <w:t xml:space="preserve"> ended </w:t>
      </w:r>
      <w:r>
        <w:rPr>
          <w:rFonts w:ascii="Arial" w:cs="Arial" w:eastAsia="Arial" w:hAnsi="Arial"/>
          <w:sz w:val="18"/>
          <w:szCs w:val="18"/>
          <w:b w:val="1"/>
          <w:bCs w:val="1"/>
          <w:color w:val="auto"/>
        </w:rPr>
        <w:t>December 31, 2012</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2011</w:t>
      </w:r>
      <w:r>
        <w:rPr>
          <w:rFonts w:ascii="Arial" w:cs="Arial" w:eastAsia="Arial" w:hAnsi="Arial"/>
          <w:sz w:val="16"/>
          <w:szCs w:val="16"/>
          <w:b w:val="1"/>
          <w:bCs w:val="1"/>
          <w:color w:val="auto"/>
        </w:rPr>
        <w:t xml:space="preserve">, and </w:t>
      </w:r>
      <w:r>
        <w:rPr>
          <w:rFonts w:ascii="Arial" w:cs="Arial" w:eastAsia="Arial" w:hAnsi="Arial"/>
          <w:sz w:val="18"/>
          <w:szCs w:val="18"/>
          <w:b w:val="1"/>
          <w:bCs w:val="1"/>
          <w:color w:val="auto"/>
        </w:rPr>
        <w:t>2010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w w:val="97"/>
              </w:rPr>
              <w:t>Noncontrolling Interests</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5"/>
              </w:rPr>
              <w:t>Limited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Exchangeable</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Partners’</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Operating</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Preferred</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Treasury</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Paid In</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in Excess 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Preferred</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Partnership</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Consolidated</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760" w:type="dxa"/>
            <w:vAlign w:val="bottom"/>
          </w:tcPr>
          <w:p>
            <w:pPr>
              <w:jc w:val="right"/>
              <w:ind w:right="21"/>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8"/>
              </w:rPr>
              <w:t>Loss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Net Income</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Partnerships</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Interests</w:t>
            </w:r>
          </w:p>
        </w:tc>
        <w:tc>
          <w:tcPr>
            <w:tcW w:w="760" w:type="dxa"/>
            <w:vAlign w:val="bottom"/>
          </w:tcPr>
          <w:p>
            <w:pPr>
              <w:jc w:val="right"/>
              <w:ind w:right="21"/>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6"/>
        </w:trPr>
        <w:tc>
          <w:tcPr>
            <w:tcW w:w="1140" w:type="dxa"/>
            <w:vAlign w:val="bottom"/>
          </w:tcPr>
          <w:p>
            <w:pPr>
              <w:ind w:left="280"/>
              <w:spacing w:after="0"/>
              <w:rPr>
                <w:sz w:val="20"/>
                <w:szCs w:val="20"/>
                <w:color w:val="auto"/>
              </w:rPr>
            </w:pPr>
            <w:r>
              <w:rPr>
                <w:rFonts w:ascii="Arial" w:cs="Arial" w:eastAsia="Arial" w:hAnsi="Arial"/>
                <w:sz w:val="16"/>
                <w:szCs w:val="16"/>
                <w:color w:val="auto"/>
              </w:rPr>
              <w:t>Common</w:t>
            </w: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280"/>
              <w:spacing w:after="0"/>
              <w:rPr>
                <w:sz w:val="20"/>
                <w:szCs w:val="20"/>
                <w:color w:val="auto"/>
              </w:rPr>
            </w:pPr>
            <w:r>
              <w:rPr>
                <w:rFonts w:ascii="Arial" w:cs="Arial" w:eastAsia="Arial" w:hAnsi="Arial"/>
                <w:sz w:val="16"/>
                <w:szCs w:val="16"/>
                <w:color w:val="auto"/>
              </w:rPr>
              <w:t>stock/unit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280"/>
              <w:spacing w:after="0"/>
              <w:rPr>
                <w:sz w:val="20"/>
                <w:szCs w:val="20"/>
                <w:color w:val="auto"/>
              </w:rPr>
            </w:pPr>
            <w:r>
              <w:rPr>
                <w:rFonts w:ascii="Arial" w:cs="Arial" w:eastAsia="Arial" w:hAnsi="Arial"/>
                <w:sz w:val="16"/>
                <w:szCs w:val="16"/>
                <w:color w:val="auto"/>
              </w:rPr>
              <w:t>($1.85 per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280"/>
              <w:spacing w:after="0"/>
              <w:rPr>
                <w:sz w:val="20"/>
                <w:szCs w:val="20"/>
                <w:color w:val="auto"/>
              </w:rPr>
            </w:pPr>
            <w:r>
              <w:rPr>
                <w:rFonts w:ascii="Arial" w:cs="Arial" w:eastAsia="Arial" w:hAnsi="Arial"/>
                <w:sz w:val="16"/>
                <w:szCs w:val="16"/>
                <w:color w:val="auto"/>
              </w:rPr>
              <w:t>share)</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6"/>
              </w:rPr>
              <w:t>(161,236)</w:t>
            </w:r>
          </w:p>
        </w:tc>
        <w:tc>
          <w:tcPr>
            <w:tcW w:w="12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(161,236)</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(161,560)</w:t>
            </w:r>
          </w:p>
        </w:tc>
        <w:tc>
          <w:tcPr>
            <w:tcW w:w="0" w:type="dxa"/>
            <w:vAlign w:val="bottom"/>
          </w:tcPr>
          <w:p>
            <w:pPr>
              <w:spacing w:after="0"/>
              <w:rPr>
                <w:sz w:val="1"/>
                <w:szCs w:val="1"/>
                <w:color w:val="auto"/>
              </w:rPr>
            </w:pPr>
          </w:p>
        </w:tc>
      </w:tr>
      <w:tr>
        <w:trPr>
          <w:trHeight w:val="33"/>
        </w:trPr>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275,000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899</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(15,197)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2,281,817</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(71,429)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(662,735)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1,808,355</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49,158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(963)</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13,104</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61,299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1,869,654</w:t>
            </w:r>
          </w:p>
        </w:tc>
        <w:tc>
          <w:tcPr>
            <w:tcW w:w="0" w:type="dxa"/>
            <w:vAlign w:val="bottom"/>
          </w:tcPr>
          <w:p>
            <w:pPr>
              <w:spacing w:after="0"/>
              <w:rPr>
                <w:sz w:val="1"/>
                <w:szCs w:val="1"/>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25,867</w:t>
            </w:r>
          </w:p>
        </w:tc>
        <w:tc>
          <w:tcPr>
            <w:tcW w:w="120" w:type="dxa"/>
            <w:vAlign w:val="bottom"/>
          </w:tcPr>
          <w:p>
            <w:pPr>
              <w:spacing w:after="0"/>
              <w:rPr>
                <w:sz w:val="20"/>
                <w:szCs w:val="20"/>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25,867</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26,209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comprehensive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13,714</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13,714</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13,711</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Deferred</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plan, net</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11,526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11,526</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11,526</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redeemed for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taxes withheld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w w:val="99"/>
              </w:rPr>
              <w:t>for stock based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(1,474)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issued for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reinvestment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w w:val="97"/>
              </w:rPr>
              <w:t>issued for stock</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w w:val="97"/>
              </w:rPr>
              <w:t>offerings, net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issuance costs</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21,537</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21,542</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21,542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Redemption of</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units</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(48,125)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(48,125)</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(48,125)</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Issuance of</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w w:val="97"/>
              </w:rPr>
              <w:t>preferred stock,</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net of issuance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costs</w:t>
            </w:r>
          </w:p>
        </w:tc>
        <w:tc>
          <w:tcPr>
            <w:tcW w:w="180" w:type="dxa"/>
            <w:vAlign w:val="bottom"/>
          </w:tcPr>
          <w:p>
            <w:pPr>
              <w:spacing w:after="0"/>
              <w:rPr>
                <w:sz w:val="17"/>
                <w:szCs w:val="17"/>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325,000</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(11,100)</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313,900</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313,900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Redemption of</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(275,000)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9,277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(9,277)</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from partners</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3,362</w:t>
            </w:r>
          </w:p>
        </w:tc>
        <w:tc>
          <w:tcPr>
            <w:tcW w:w="12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3,362</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w w:val="98"/>
              </w:rPr>
              <w:t>Cash dividends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declared: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stock/unit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(23,254)</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(23,254)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(23,658)</w:t>
            </w:r>
          </w:p>
        </w:tc>
        <w:tc>
          <w:tcPr>
            <w:tcW w:w="0" w:type="dxa"/>
            <w:vAlign w:val="bottom"/>
          </w:tcPr>
          <w:p>
            <w:pPr>
              <w:spacing w:after="0"/>
              <w:rPr>
                <w:sz w:val="1"/>
                <w:szCs w:val="1"/>
                <w:color w:val="auto"/>
              </w:rPr>
            </w:pPr>
          </w:p>
        </w:tc>
      </w:tr>
      <w:tr>
        <w:trPr>
          <w:trHeight w:val="220"/>
        </w:trPr>
        <w:tc>
          <w:tcPr>
            <w:tcW w:w="1140" w:type="dxa"/>
            <w:vAlign w:val="bottom"/>
          </w:tcPr>
          <w:p>
            <w:pPr>
              <w:ind w:left="280"/>
              <w:spacing w:after="0"/>
              <w:rPr>
                <w:sz w:val="20"/>
                <w:szCs w:val="20"/>
                <w:color w:val="auto"/>
              </w:rPr>
            </w:pPr>
            <w:r>
              <w:rPr>
                <w:rFonts w:ascii="Arial" w:cs="Arial" w:eastAsia="Arial" w:hAnsi="Arial"/>
                <w:sz w:val="16"/>
                <w:szCs w:val="16"/>
                <w:color w:val="auto"/>
              </w:rPr>
              <w:t>Common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280"/>
              <w:spacing w:after="0"/>
              <w:rPr>
                <w:sz w:val="20"/>
                <w:szCs w:val="20"/>
                <w:color w:val="auto"/>
              </w:rPr>
            </w:pPr>
            <w:r>
              <w:rPr>
                <w:rFonts w:ascii="Arial" w:cs="Arial" w:eastAsia="Arial" w:hAnsi="Arial"/>
                <w:sz w:val="16"/>
                <w:szCs w:val="16"/>
                <w:color w:val="auto"/>
              </w:rPr>
              <w:t>stock/unit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280"/>
              <w:spacing w:after="0"/>
              <w:rPr>
                <w:sz w:val="20"/>
                <w:szCs w:val="20"/>
                <w:color w:val="auto"/>
              </w:rPr>
            </w:pPr>
            <w:r>
              <w:rPr>
                <w:rFonts w:ascii="Arial" w:cs="Arial" w:eastAsia="Arial" w:hAnsi="Arial"/>
                <w:sz w:val="16"/>
                <w:szCs w:val="16"/>
                <w:color w:val="auto"/>
              </w:rPr>
              <w:t>($1.85 per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280"/>
              <w:spacing w:after="0"/>
              <w:rPr>
                <w:sz w:val="20"/>
                <w:szCs w:val="20"/>
                <w:color w:val="auto"/>
              </w:rPr>
            </w:pPr>
            <w:r>
              <w:rPr>
                <w:rFonts w:ascii="Arial" w:cs="Arial" w:eastAsia="Arial" w:hAnsi="Arial"/>
                <w:sz w:val="16"/>
                <w:szCs w:val="16"/>
                <w:color w:val="auto"/>
              </w:rPr>
              <w:t>share)</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6"/>
              </w:rPr>
              <w:t>(165,411)</w:t>
            </w:r>
          </w:p>
        </w:tc>
        <w:tc>
          <w:tcPr>
            <w:tcW w:w="12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(165,411)</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(165,735)</w:t>
            </w:r>
          </w:p>
        </w:tc>
        <w:tc>
          <w:tcPr>
            <w:tcW w:w="0" w:type="dxa"/>
            <w:vAlign w:val="bottom"/>
          </w:tcPr>
          <w:p>
            <w:pPr>
              <w:spacing w:after="0"/>
              <w:rPr>
                <w:sz w:val="1"/>
                <w:szCs w:val="1"/>
                <w:color w:val="auto"/>
              </w:rPr>
            </w:pPr>
          </w:p>
        </w:tc>
      </w:tr>
      <w:tr>
        <w:trPr>
          <w:trHeight w:val="33"/>
        </w:trPr>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325,000</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904</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(14,924)</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2,312,310</w:t>
            </w: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(57,715)</w:t>
            </w: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(834,810)</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1,730,765</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(1,153)</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16,299</w:t>
            </w:r>
          </w:p>
        </w:tc>
        <w:tc>
          <w:tcPr>
            <w:tcW w:w="1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15,146</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1,745,911</w:t>
            </w:r>
          </w:p>
        </w:tc>
        <w:tc>
          <w:tcPr>
            <w:tcW w:w="0" w:type="dxa"/>
            <w:vAlign w:val="bottom"/>
          </w:tcPr>
          <w:p>
            <w:pPr>
              <w:spacing w:after="0"/>
              <w:rPr>
                <w:sz w:val="1"/>
                <w:szCs w:val="1"/>
                <w:color w:val="auto"/>
              </w:rPr>
            </w:pPr>
          </w:p>
        </w:tc>
      </w:tr>
      <w:tr>
        <w:trPr>
          <w:trHeight w:val="22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720" w:right="239" w:bottom="771"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720" w:right="239" w:bottom="771" w:gutter="0" w:footer="0" w:header="0"/>
          <w:type w:val="continuous"/>
        </w:sectPr>
      </w:pPr>
    </w:p>
    <w:bookmarkStart w:id="72" w:name="page73"/>
    <w:bookmarkEnd w:id="72"/>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RREGENCY CENTERS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2012, 2011, and 2010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2010</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26,209</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55,788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13,001</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127,839</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133,756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123,933</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deferred loan cost and debt premium</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8,533</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Amortization and (accretion) of above and below market lease intangibles, net</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net of capitalization</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6,615</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Equity in (income) loss of investments in real estate partnerships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(23,807)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(9,643)</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12,884</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gain on sale of properties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(8,648)</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Provision for impairment</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74,816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15,883</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26,615</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Early extinguishment of debt</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4,243</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Deferred income tax expense (benefit) of taxable REIT subsidiary</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13,727</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Distribution of earnings from operations of investments in real estate partnerships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41,054</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Settlement of derivative instruments</w:t>
            </w:r>
          </w:p>
        </w:tc>
        <w:tc>
          <w:tcPr>
            <w:tcW w:w="6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(63,435)</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loss on derivative instruments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Deferred compensation expense (income)</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2,069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5,068</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Realized and unrealized (gain) loss on trading securities held in trust</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w:t>
            </w:r>
          </w:p>
        </w:tc>
      </w:tr>
      <w:tr>
        <w:trPr>
          <w:trHeight w:val="224"/>
        </w:trPr>
        <w:tc>
          <w:tcPr>
            <w:tcW w:w="6400" w:type="dxa"/>
            <w:vAlign w:val="bottom"/>
          </w:tcPr>
          <w:p>
            <w:pPr>
              <w:ind w:left="720"/>
              <w:spacing w:after="0"/>
              <w:rPr>
                <w:sz w:val="20"/>
                <w:szCs w:val="20"/>
                <w:color w:val="auto"/>
              </w:rPr>
            </w:pPr>
            <w:r>
              <w:rPr>
                <w:rFonts w:ascii="Arial" w:cs="Arial" w:eastAsia="Arial" w:hAnsi="Arial"/>
                <w:sz w:val="16"/>
                <w:szCs w:val="16"/>
                <w:color w:val="auto"/>
              </w:rPr>
              <w:t>Changes in assets and liabilities:</w:t>
            </w: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6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Restricted cash</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r>
      <w:tr>
        <w:trPr>
          <w:trHeight w:val="237"/>
        </w:trPr>
        <w:tc>
          <w:tcPr>
            <w:tcW w:w="6400" w:type="dxa"/>
            <w:vAlign w:val="bottom"/>
          </w:tcPr>
          <w:p>
            <w:pPr>
              <w:ind w:left="1360"/>
              <w:spacing w:after="0"/>
              <w:rPr>
                <w:sz w:val="20"/>
                <w:szCs w:val="20"/>
                <w:color w:val="auto"/>
              </w:rPr>
            </w:pPr>
            <w:r>
              <w:rPr>
                <w:rFonts w:ascii="Arial" w:cs="Arial" w:eastAsia="Arial" w:hAnsi="Arial"/>
                <w:sz w:val="16"/>
                <w:szCs w:val="16"/>
                <w:color w:val="auto"/>
              </w:rPr>
              <w:t>Accounts receivable</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6,157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2,657</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Straight-line rent receivables, net</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r>
      <w:tr>
        <w:trPr>
          <w:trHeight w:val="237"/>
        </w:trPr>
        <w:tc>
          <w:tcPr>
            <w:tcW w:w="6400" w:type="dxa"/>
            <w:vAlign w:val="bottom"/>
          </w:tcPr>
          <w:p>
            <w:pPr>
              <w:ind w:left="1360"/>
              <w:spacing w:after="0"/>
              <w:rPr>
                <w:sz w:val="20"/>
                <w:szCs w:val="20"/>
                <w:color w:val="auto"/>
              </w:rPr>
            </w:pPr>
            <w:r>
              <w:rPr>
                <w:rFonts w:ascii="Arial" w:cs="Arial" w:eastAsia="Arial" w:hAnsi="Arial"/>
                <w:sz w:val="16"/>
                <w:szCs w:val="16"/>
                <w:color w:val="auto"/>
              </w:rPr>
              <w:t>Deferred leasing costs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(12,642)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(15,013)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(15,563)</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Other assets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(3,821)</w:t>
            </w:r>
          </w:p>
        </w:tc>
      </w:tr>
      <w:tr>
        <w:trPr>
          <w:trHeight w:val="237"/>
        </w:trPr>
        <w:tc>
          <w:tcPr>
            <w:tcW w:w="6400" w:type="dxa"/>
            <w:vAlign w:val="bottom"/>
          </w:tcPr>
          <w:p>
            <w:pPr>
              <w:ind w:left="1360"/>
              <w:spacing w:after="0"/>
              <w:rPr>
                <w:sz w:val="20"/>
                <w:szCs w:val="20"/>
                <w:color w:val="auto"/>
              </w:rPr>
            </w:pPr>
            <w:r>
              <w:rPr>
                <w:rFonts w:ascii="Arial" w:cs="Arial" w:eastAsia="Arial" w:hAnsi="Arial"/>
                <w:sz w:val="16"/>
                <w:szCs w:val="16"/>
                <w:color w:val="auto"/>
              </w:rPr>
              <w:t>Accounts payable and other liabilities</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10,994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(17,892)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Tenants’ security and escrow deposits and prepaid rent</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17"/>
        </w:trPr>
        <w:tc>
          <w:tcPr>
            <w:tcW w:w="6400" w:type="dxa"/>
            <w:vAlign w:val="bottom"/>
          </w:tcPr>
          <w:p>
            <w:pPr>
              <w:ind w:left="180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257,215</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217,633</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138,459</w:t>
            </w:r>
          </w:p>
        </w:tc>
      </w:tr>
      <w:tr>
        <w:trPr>
          <w:trHeight w:val="33"/>
        </w:trPr>
        <w:tc>
          <w:tcPr>
            <w:tcW w:w="64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Acquisition of operating real estate</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(156,026)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(70,629)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(24,569)</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development and capital improvements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(65,889)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sale of real estate investments</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352,707</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86,233</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47,333</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collection of notes receivable</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Investments in real estate partnerships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(66,663)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(198,688)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(231,847)</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received from investments in real estate partnerships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188,514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90,092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Dividends on trading securities held in trust</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trading securities held in trust</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sale of trading securities held in trust</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18,077</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18,146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9,555</w:t>
            </w:r>
          </w:p>
        </w:tc>
      </w:tr>
      <w:tr>
        <w:trPr>
          <w:trHeight w:val="33"/>
        </w:trPr>
        <w:tc>
          <w:tcPr>
            <w:tcW w:w="64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color w:val="auto"/>
              </w:rPr>
              <w:t>Net cash provided by (used in) investing activities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(184,457)</w:t>
            </w:r>
          </w:p>
        </w:tc>
      </w:tr>
      <w:tr>
        <w:trPr>
          <w:trHeight w:val="204"/>
        </w:trPr>
        <w:tc>
          <w:tcPr>
            <w:tcW w:w="64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6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Net proceeds from issuance of preferred stock</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313,900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treasury stock</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Acquisition of treasury stock</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Redemption of preferred stock and partnership units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(323,125)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Distributions to limited partners in consolidated partnerships, net</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(1,427)</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exchangeable operating partnership unit holders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Distributions to preferred unit holders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(3,725)</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 to common stockholders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(164,423)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(148,649)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Dividends paid to preferred stockholders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(23,254)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(19,675)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(19,675)</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fixed rate unsecured notes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(209,879)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issuance of fixed rate unsecured notes, net</w:t>
            </w:r>
          </w:p>
        </w:tc>
        <w:tc>
          <w:tcPr>
            <w:tcW w:w="6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398,599</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unsecured credit facilities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Repayment of unsecured credit facilities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(620,000)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(425,000)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(240,000)</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notes payable</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Repayment of notes payable</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(16,919)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(51,687)</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Scheduled principal payments</w:t>
            </w: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r>
      <w:tr>
        <w:trPr>
          <w:trHeight w:val="33"/>
        </w:trPr>
        <w:tc>
          <w:tcPr>
            <w:tcW w:w="6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ectPr>
          <w:pgSz w:w="11900" w:h="16857" w:orient="portrait"/>
          <w:cols w:equalWidth="0" w:num="1">
            <w:col w:w="10260"/>
          </w:cols>
          <w:pgMar w:left="820" w:top="585" w:right="81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ind w:left="380"/>
              <w:spacing w:after="0"/>
              <w:rPr>
                <w:sz w:val="20"/>
                <w:szCs w:val="20"/>
                <w:color w:val="auto"/>
              </w:rPr>
            </w:pPr>
            <w:r>
              <w:rPr>
                <w:rFonts w:ascii="Arial" w:cs="Arial" w:eastAsia="Arial" w:hAnsi="Arial"/>
                <w:sz w:val="16"/>
                <w:szCs w:val="16"/>
                <w:color w:val="auto"/>
              </w:rPr>
              <w:t>Payment of loan costs</w:t>
            </w:r>
          </w:p>
        </w:tc>
        <w:tc>
          <w:tcPr>
            <w:tcW w:w="10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(6,070)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(4,361)</w:t>
            </w:r>
          </w:p>
        </w:tc>
      </w:tr>
      <w:tr>
        <w:trPr>
          <w:trHeight w:val="47"/>
        </w:trPr>
        <w:tc>
          <w:tcPr>
            <w:tcW w:w="6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premium on tender offer</w:t>
            </w:r>
          </w:p>
        </w:tc>
        <w:tc>
          <w:tcPr>
            <w:tcW w:w="10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17"/>
        </w:trPr>
        <w:tc>
          <w:tcPr>
            <w:tcW w:w="6000" w:type="dxa"/>
            <w:vAlign w:val="bottom"/>
          </w:tcPr>
          <w:p>
            <w:pPr>
              <w:ind w:left="180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(249,891)</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(145,569)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(32,797)</w:t>
            </w:r>
          </w:p>
        </w:tc>
      </w:tr>
      <w:tr>
        <w:trPr>
          <w:trHeight w:val="33"/>
        </w:trPr>
        <w:tc>
          <w:tcPr>
            <w:tcW w:w="60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color w:val="auto"/>
              </w:rPr>
              <w:t>Net increase (decrease) in cash and cash equivalents</w:t>
            </w:r>
          </w:p>
        </w:tc>
        <w:tc>
          <w:tcPr>
            <w:tcW w:w="10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(78,795)</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year</w:t>
            </w:r>
          </w:p>
        </w:tc>
        <w:tc>
          <w:tcPr>
            <w:tcW w:w="10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11,402</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17,061</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95,856</w:t>
            </w:r>
          </w:p>
        </w:tc>
      </w:tr>
      <w:tr>
        <w:trPr>
          <w:trHeight w:val="33"/>
        </w:trPr>
        <w:tc>
          <w:tcPr>
            <w:tcW w:w="60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year</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17,061</w:t>
            </w:r>
          </w:p>
        </w:tc>
      </w:tr>
      <w:tr>
        <w:trPr>
          <w:trHeight w:val="20"/>
        </w:trPr>
        <w:tc>
          <w:tcPr>
            <w:tcW w:w="6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60"/>
          </w:cols>
          <w:pgMar w:left="820" w:top="130" w:right="819" w:bottom="1440" w:gutter="0" w:footer="0" w:header="0"/>
        </w:sectPr>
      </w:pPr>
    </w:p>
    <w:bookmarkStart w:id="74" w:name="page75"/>
    <w:bookmarkEnd w:id="74"/>
    <w:p>
      <w:pPr>
        <w:jc w:val="center"/>
        <w:ind w:right="-439"/>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For the years ended December 31, 2012, 2011, and 2010</w:t>
      </w:r>
    </w:p>
    <w:p>
      <w:pPr>
        <w:spacing w:after="0" w:line="5"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(in thousands)</w:t>
      </w:r>
    </w:p>
    <w:p>
      <w:pPr>
        <w:spacing w:after="0" w:line="39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6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680" w:type="dxa"/>
            <w:vAlign w:val="bottom"/>
          </w:tcPr>
          <w:p>
            <w:pPr>
              <w:ind w:left="280"/>
              <w:spacing w:after="0"/>
              <w:rPr>
                <w:sz w:val="20"/>
                <w:szCs w:val="20"/>
                <w:color w:val="auto"/>
              </w:rPr>
            </w:pPr>
            <w:r>
              <w:rPr>
                <w:rFonts w:ascii="Arial" w:cs="Arial" w:eastAsia="Arial" w:hAnsi="Arial"/>
                <w:sz w:val="16"/>
                <w:szCs w:val="16"/>
                <w:color w:val="auto"/>
                <w:w w:val="93"/>
              </w:rPr>
              <w:t>Cash paid for interest (net of capitalized interest of $3,686, $1,480, and $5,099 in</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115,879</w:t>
            </w:r>
          </w:p>
        </w:tc>
        <w:tc>
          <w:tcPr>
            <w:tcW w:w="1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128,649</w:t>
            </w:r>
          </w:p>
        </w:tc>
        <w:tc>
          <w:tcPr>
            <w:tcW w:w="120" w:type="dxa"/>
            <w:vAlign w:val="bottom"/>
          </w:tcPr>
          <w:p>
            <w:pPr>
              <w:spacing w:after="0"/>
              <w:rPr>
                <w:sz w:val="19"/>
                <w:szCs w:val="19"/>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127,591</w:t>
            </w:r>
          </w:p>
        </w:tc>
        <w:tc>
          <w:tcPr>
            <w:tcW w:w="0" w:type="dxa"/>
            <w:vAlign w:val="bottom"/>
          </w:tcPr>
          <w:p>
            <w:pPr>
              <w:spacing w:after="0"/>
              <w:rPr>
                <w:sz w:val="1"/>
                <w:szCs w:val="1"/>
                <w:color w:val="auto"/>
              </w:rPr>
            </w:pPr>
          </w:p>
        </w:tc>
      </w:tr>
      <w:tr>
        <w:trPr>
          <w:trHeight w:val="259"/>
        </w:trPr>
        <w:tc>
          <w:tcPr>
            <w:tcW w:w="5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2012, 2011, and 2010, respectively)</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transactions: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5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Common stock issued for partnership units exchanged</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7,630</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 estate received through distribution in kind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80"/>
              <w:spacing w:after="0"/>
              <w:rPr>
                <w:sz w:val="20"/>
                <w:szCs w:val="20"/>
                <w:color w:val="auto"/>
              </w:rPr>
            </w:pPr>
            <w:r>
              <w:rPr>
                <w:rFonts w:ascii="Arial" w:cs="Arial" w:eastAsia="Arial" w:hAnsi="Arial"/>
                <w:sz w:val="16"/>
                <w:szCs w:val="16"/>
                <w:color w:val="auto"/>
              </w:rPr>
              <w:t>Mortgage loans assumed through distribution in kind</w:t>
            </w: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80" w:type="dxa"/>
            <w:vAlign w:val="bottom"/>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28,760</w:t>
            </w:r>
          </w:p>
        </w:tc>
        <w:tc>
          <w:tcPr>
            <w:tcW w:w="1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 loans assumed for the acquisition of real estate</w:t>
            </w:r>
          </w:p>
        </w:tc>
        <w:tc>
          <w:tcPr>
            <w:tcW w:w="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58,981</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80"/>
              <w:spacing w:after="0"/>
              <w:rPr>
                <w:sz w:val="20"/>
                <w:szCs w:val="20"/>
                <w:color w:val="auto"/>
              </w:rPr>
            </w:pPr>
            <w:r>
              <w:rPr>
                <w:rFonts w:ascii="Arial" w:cs="Arial" w:eastAsia="Arial" w:hAnsi="Arial"/>
                <w:sz w:val="16"/>
                <w:szCs w:val="16"/>
                <w:color w:val="auto"/>
              </w:rPr>
              <w:t>Real estate contributed for investments in real estate partnerships</w:t>
            </w: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80" w:type="dxa"/>
            <w:vAlign w:val="bottom"/>
            <w:tcBorders>
              <w:bottom w:val="single" w:sz="8" w:color="CCEEFF"/>
            </w:tcBorders>
            <w:vMerge w:val="continue"/>
          </w:tcPr>
          <w:p>
            <w:pPr>
              <w:spacing w:after="0"/>
              <w:rPr>
                <w:sz w:val="24"/>
                <w:szCs w:val="24"/>
                <w:color w:val="auto"/>
              </w:rPr>
            </w:pP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47,500</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 estate received through foreclosure on notes receivable</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12,585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Change in fair value of derivative instruments</w:t>
            </w: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80" w:type="dxa"/>
            <w:vAlign w:val="bottom"/>
            <w:tcBorders>
              <w:bottom w:val="single" w:sz="8" w:color="CCEEFF"/>
            </w:tcBorders>
            <w:vMerge w:val="continue"/>
          </w:tcPr>
          <w:p>
            <w:pPr>
              <w:spacing w:after="0"/>
              <w:rPr>
                <w:sz w:val="24"/>
                <w:szCs w:val="24"/>
                <w:color w:val="auto"/>
              </w:rPr>
            </w:pP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28,363</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 issued for dividend reinvestment plan</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80"/>
              <w:spacing w:after="0"/>
              <w:rPr>
                <w:sz w:val="20"/>
                <w:szCs w:val="20"/>
                <w:color w:val="auto"/>
              </w:rPr>
            </w:pPr>
            <w:r>
              <w:rPr>
                <w:rFonts w:ascii="Arial" w:cs="Arial" w:eastAsia="Arial" w:hAnsi="Arial"/>
                <w:sz w:val="16"/>
                <w:szCs w:val="16"/>
                <w:color w:val="auto"/>
              </w:rPr>
              <w:t>Stock-based compensation capitalized</w:t>
            </w: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80" w:type="dxa"/>
            <w:vAlign w:val="bottom"/>
            <w:tcBorders>
              <w:bottom w:val="single" w:sz="8" w:color="CCEEFF"/>
            </w:tcBorders>
            <w:vMerge w:val="continue"/>
          </w:tcPr>
          <w:p>
            <w:pPr>
              <w:spacing w:after="0"/>
              <w:rPr>
                <w:sz w:val="24"/>
                <w:szCs w:val="24"/>
                <w:color w:val="auto"/>
              </w:rPr>
            </w:pP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1,979</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from limited partners in consolidated partnerships, net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80"/>
              <w:spacing w:after="0"/>
              <w:rPr>
                <w:sz w:val="20"/>
                <w:szCs w:val="20"/>
                <w:color w:val="auto"/>
              </w:rPr>
            </w:pPr>
            <w:r>
              <w:rPr>
                <w:rFonts w:ascii="Arial" w:cs="Arial" w:eastAsia="Arial" w:hAnsi="Arial"/>
                <w:sz w:val="16"/>
                <w:szCs w:val="16"/>
                <w:color w:val="auto"/>
              </w:rPr>
              <w:t>Common stock issued for dividend reinvestment in trust</w:t>
            </w: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80" w:type="dxa"/>
            <w:vAlign w:val="bottom"/>
            <w:tcBorders>
              <w:bottom w:val="single" w:sz="8" w:color="CCEEFF"/>
            </w:tcBorders>
            <w:vMerge w:val="continue"/>
          </w:tcPr>
          <w:p>
            <w:pPr>
              <w:spacing w:after="0"/>
              <w:rPr>
                <w:sz w:val="24"/>
                <w:szCs w:val="24"/>
                <w:color w:val="auto"/>
              </w:rPr>
            </w:pP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 of stock awards into trust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80"/>
              <w:spacing w:after="0"/>
              <w:rPr>
                <w:sz w:val="20"/>
                <w:szCs w:val="20"/>
                <w:color w:val="auto"/>
              </w:rPr>
            </w:pPr>
            <w:r>
              <w:rPr>
                <w:rFonts w:ascii="Arial" w:cs="Arial" w:eastAsia="Arial" w:hAnsi="Arial"/>
                <w:sz w:val="16"/>
                <w:szCs w:val="16"/>
                <w:color w:val="auto"/>
              </w:rPr>
              <w:t>Distribution of stock held in trust</w:t>
            </w: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9660"/>
          </w:cols>
          <w:pgMar w:left="900" w:top="1152" w:right="1339" w:bottom="1440" w:gutter="0" w:footer="0" w:header="0"/>
        </w:sectPr>
      </w:pPr>
    </w:p>
    <w:bookmarkStart w:id="75" w:name="page76"/>
    <w:bookmarkEnd w:id="75"/>
    <w:tbl>
      <w:tblPr>
        <w:tblLayout w:type="fixed"/>
        <w:tblInd w:w="4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540" w:type="dxa"/>
            <w:vAlign w:val="bottom"/>
          </w:tcPr>
          <w:p>
            <w:pPr>
              <w:jc w:val="center"/>
              <w:ind w:right="841"/>
              <w:spacing w:after="0"/>
              <w:rPr>
                <w:sz w:val="20"/>
                <w:szCs w:val="20"/>
                <w:color w:val="auto"/>
              </w:rPr>
            </w:pPr>
            <w:r>
              <w:rPr>
                <w:rFonts w:ascii="Arial" w:cs="Arial" w:eastAsia="Arial" w:hAnsi="Arial"/>
                <w:sz w:val="16"/>
                <w:szCs w:val="16"/>
                <w:b w:val="1"/>
                <w:bCs w:val="1"/>
                <w:color w:val="auto"/>
                <w:w w:val="99"/>
              </w:rPr>
              <w:t>REGENCY CENTERS, L.P.</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540" w:type="dxa"/>
            <w:vAlign w:val="bottom"/>
          </w:tcPr>
          <w:p>
            <w:pPr>
              <w:jc w:val="center"/>
              <w:ind w:right="841"/>
              <w:spacing w:after="0" w:line="176" w:lineRule="exact"/>
              <w:rPr>
                <w:sz w:val="20"/>
                <w:szCs w:val="20"/>
                <w:color w:val="auto"/>
              </w:rPr>
            </w:pPr>
            <w:r>
              <w:rPr>
                <w:rFonts w:ascii="Arial" w:cs="Arial" w:eastAsia="Arial" w:hAnsi="Arial"/>
                <w:sz w:val="16"/>
                <w:szCs w:val="16"/>
                <w:b w:val="1"/>
                <w:bCs w:val="1"/>
                <w:color w:val="auto"/>
                <w:w w:val="88"/>
              </w:rPr>
              <w:t>Consolidated Balance Sheets</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540" w:type="dxa"/>
            <w:vAlign w:val="bottom"/>
          </w:tcPr>
          <w:p>
            <w:pPr>
              <w:jc w:val="center"/>
              <w:ind w:right="821"/>
              <w:spacing w:after="0" w:line="176" w:lineRule="exact"/>
              <w:rPr>
                <w:sz w:val="20"/>
                <w:szCs w:val="20"/>
                <w:color w:val="auto"/>
              </w:rPr>
            </w:pPr>
            <w:r>
              <w:rPr>
                <w:rFonts w:ascii="Arial" w:cs="Arial" w:eastAsia="Arial" w:hAnsi="Arial"/>
                <w:sz w:val="16"/>
                <w:szCs w:val="16"/>
                <w:b w:val="1"/>
                <w:bCs w:val="1"/>
                <w:color w:val="auto"/>
                <w:w w:val="90"/>
              </w:rPr>
              <w:t>December 31, 2012 and 2011</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540" w:type="dxa"/>
            <w:vAlign w:val="bottom"/>
          </w:tcPr>
          <w:p>
            <w:pPr>
              <w:jc w:val="center"/>
              <w:ind w:right="841"/>
              <w:spacing w:after="0"/>
              <w:rPr>
                <w:sz w:val="20"/>
                <w:szCs w:val="20"/>
                <w:color w:val="auto"/>
              </w:rPr>
            </w:pPr>
            <w:r>
              <w:rPr>
                <w:rFonts w:ascii="Arial" w:cs="Arial" w:eastAsia="Arial" w:hAnsi="Arial"/>
                <w:sz w:val="16"/>
                <w:szCs w:val="16"/>
                <w:b w:val="1"/>
                <w:bCs w:val="1"/>
                <w:color w:val="auto"/>
                <w:w w:val="90"/>
              </w:rPr>
              <w:t>(in thousands, except unit data)</w:t>
            </w:r>
          </w:p>
        </w:tc>
        <w:tc>
          <w:tcPr>
            <w:tcW w:w="0" w:type="dxa"/>
            <w:vAlign w:val="bottom"/>
          </w:tcPr>
          <w:p>
            <w:pPr>
              <w:spacing w:after="0"/>
              <w:rPr>
                <w:sz w:val="1"/>
                <w:szCs w:val="1"/>
                <w:color w:val="auto"/>
              </w:rPr>
            </w:pPr>
          </w:p>
        </w:tc>
      </w:tr>
      <w:tr>
        <w:trPr>
          <w:trHeight w:val="7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Assets</w:t>
            </w:r>
          </w:p>
        </w:tc>
        <w:tc>
          <w:tcPr>
            <w:tcW w:w="34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860" w:type="dxa"/>
            <w:vAlign w:val="bottom"/>
            <w:gridSpan w:val="2"/>
          </w:tcPr>
          <w:p>
            <w:pPr>
              <w:spacing w:after="0"/>
              <w:rPr>
                <w:sz w:val="20"/>
                <w:szCs w:val="20"/>
                <w:color w:val="auto"/>
              </w:rPr>
            </w:pPr>
            <w:r>
              <w:rPr>
                <w:rFonts w:ascii="Arial" w:cs="Arial" w:eastAsia="Arial" w:hAnsi="Arial"/>
                <w:sz w:val="14"/>
                <w:szCs w:val="14"/>
                <w:color w:val="auto"/>
              </w:rPr>
              <w:t>Real estate investments at cost (notes 2 and 3):</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3480" w:type="dxa"/>
            <w:vAlign w:val="bottom"/>
          </w:tcPr>
          <w:p>
            <w:pPr>
              <w:ind w:left="80"/>
              <w:spacing w:after="0"/>
              <w:rPr>
                <w:sz w:val="20"/>
                <w:szCs w:val="20"/>
                <w:color w:val="auto"/>
              </w:rPr>
            </w:pPr>
            <w:r>
              <w:rPr>
                <w:rFonts w:ascii="Arial" w:cs="Arial" w:eastAsia="Arial" w:hAnsi="Arial"/>
                <w:sz w:val="14"/>
                <w:szCs w:val="14"/>
                <w:color w:val="auto"/>
              </w:rPr>
              <w:t>Land</w:t>
            </w:r>
          </w:p>
        </w:tc>
        <w:tc>
          <w:tcPr>
            <w:tcW w:w="4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80" w:type="dxa"/>
            <w:vAlign w:val="bottom"/>
          </w:tcPr>
          <w:p>
            <w:pPr>
              <w:ind w:left="80"/>
              <w:spacing w:after="0"/>
              <w:rPr>
                <w:sz w:val="20"/>
                <w:szCs w:val="20"/>
                <w:color w:val="auto"/>
              </w:rPr>
            </w:pPr>
            <w:r>
              <w:rPr>
                <w:rFonts w:ascii="Arial" w:cs="Arial" w:eastAsia="Arial" w:hAnsi="Arial"/>
                <w:sz w:val="14"/>
                <w:szCs w:val="14"/>
                <w:color w:val="auto"/>
              </w:rPr>
              <w:t>Buildings and improvements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3480" w:type="dxa"/>
            <w:vAlign w:val="bottom"/>
          </w:tcPr>
          <w:p>
            <w:pPr>
              <w:ind w:left="80"/>
              <w:spacing w:after="0"/>
              <w:rPr>
                <w:sz w:val="20"/>
                <w:szCs w:val="20"/>
                <w:color w:val="auto"/>
              </w:rPr>
            </w:pPr>
            <w:r>
              <w:rPr>
                <w:rFonts w:ascii="Arial" w:cs="Arial" w:eastAsia="Arial" w:hAnsi="Arial"/>
                <w:sz w:val="14"/>
                <w:szCs w:val="14"/>
                <w:color w:val="auto"/>
              </w:rPr>
              <w:t>Properties in development</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8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4"/>
                <w:szCs w:val="14"/>
                <w:color w:val="auto"/>
              </w:rPr>
              <w:t>Less: accumulated depreciation</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8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4"/>
                <w:szCs w:val="14"/>
                <w:color w:val="auto"/>
              </w:rPr>
              <w:t>Investments in real estate partnerships (note 4)</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3480" w:type="dxa"/>
            <w:vAlign w:val="bottom"/>
          </w:tcPr>
          <w:p>
            <w:pPr>
              <w:ind w:left="300"/>
              <w:spacing w:after="0"/>
              <w:rPr>
                <w:sz w:val="20"/>
                <w:szCs w:val="20"/>
                <w:color w:val="auto"/>
              </w:rPr>
            </w:pPr>
            <w:r>
              <w:rPr>
                <w:rFonts w:ascii="Arial" w:cs="Arial" w:eastAsia="Arial" w:hAnsi="Arial"/>
                <w:sz w:val="14"/>
                <w:szCs w:val="14"/>
                <w:color w:val="auto"/>
              </w:rPr>
              <w:t>Net real estate investments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-1835785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receivable, net of allowance for doubtful accounts of $3,915 and $3,442 at December 31,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Straight-line rent receivable, net of reserve of $870 and $2,075 at December 31, 2012 and 2011, respectively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costs, less accumulated amortization of $69,224 and $71,265 at December 31, 2012 and 2011, respectively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Acquired lease intangible assets, less accumulated amortization of $19,148 and $15,588 at December 31, 2012 and 2011, respectively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Trading securities held in trust, at fair value (note 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380" w:type="dxa"/>
            <w:vAlign w:val="bottom"/>
          </w:tcPr>
          <w:p>
            <w:pPr>
              <w:spacing w:after="0"/>
              <w:rPr>
                <w:sz w:val="15"/>
                <w:szCs w:val="15"/>
                <w:color w:val="auto"/>
              </w:rPr>
            </w:pPr>
          </w:p>
        </w:tc>
        <w:tc>
          <w:tcPr>
            <w:tcW w:w="38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Liabilities and Capital</w:t>
            </w:r>
          </w:p>
        </w:tc>
        <w:tc>
          <w:tcPr>
            <w:tcW w:w="38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520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ind w:left="460"/>
              <w:spacing w:after="0"/>
              <w:rPr>
                <w:sz w:val="20"/>
                <w:szCs w:val="20"/>
                <w:color w:val="auto"/>
              </w:rPr>
            </w:pPr>
            <w:r>
              <w:rPr>
                <w:rFonts w:ascii="Arial" w:cs="Arial" w:eastAsia="Arial" w:hAnsi="Arial"/>
                <w:sz w:val="14"/>
                <w:szCs w:val="14"/>
                <w:color w:val="auto"/>
              </w:rPr>
              <w:t>Notes payable (note 8)</w:t>
            </w:r>
          </w:p>
        </w:tc>
        <w:tc>
          <w:tcPr>
            <w:tcW w:w="3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Unsecured credit facilities (note 8)</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Accounts payable and other liabilities (note 9 and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left="500" w:right="380"/>
        <w:spacing w:after="0" w:line="253" w:lineRule="auto"/>
        <w:rPr>
          <w:sz w:val="20"/>
          <w:szCs w:val="20"/>
          <w:color w:val="auto"/>
        </w:rPr>
      </w:pPr>
      <w:r>
        <w:rPr>
          <w:rFonts w:ascii="Arial" w:cs="Arial" w:eastAsia="Arial" w:hAnsi="Arial"/>
          <w:sz w:val="14"/>
          <w:szCs w:val="14"/>
          <w:color w:val="auto"/>
        </w:rPr>
        <w:t>Acquired lease intangible liabilities, less accumulated accretion of $6,636 and $4,750 at December 31, 2012 and 2011, respectively (note 6)</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Tenants’ security and escrow deposits and prepaid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(notes 15 and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Partners’ capital (notes 11 and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Series D preferred units, par value $100: 500,000 units issued and outstanding at December 31, 2011</w:t>
      </w:r>
    </w:p>
    <w:p>
      <w:pPr>
        <w:spacing w:after="0" w:line="109" w:lineRule="exact"/>
        <w:rPr>
          <w:sz w:val="20"/>
          <w:szCs w:val="20"/>
          <w:color w:val="auto"/>
        </w:rPr>
      </w:pPr>
    </w:p>
    <w:p>
      <w:pPr>
        <w:ind w:left="500" w:right="320"/>
        <w:spacing w:after="0" w:line="253" w:lineRule="auto"/>
        <w:rPr>
          <w:sz w:val="20"/>
          <w:szCs w:val="20"/>
          <w:color w:val="auto"/>
        </w:rPr>
      </w:pPr>
      <w:r>
        <w:rPr>
          <w:rFonts w:ascii="Arial" w:cs="Arial" w:eastAsia="Arial" w:hAnsi="Arial"/>
          <w:sz w:val="14"/>
          <w:szCs w:val="14"/>
          <w:color w:val="auto"/>
        </w:rPr>
        <w:t>Preferred units of general partner, $0.01 par value per unit, 13,000,000 and 11,000,000 units issued and outstanding at December 31, 2012 and 2011, respectively, liquidation preference of $25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General partner; 90,394,486 and 89,921,858 units outstanding at December 31, 2012 and 2011, respectively</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Limited partners; 177,164 units outstanding at December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Noncontrolling interests (note 11):</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5520" w:type="dxa"/>
            <w:vAlign w:val="bottom"/>
          </w:tcPr>
          <w:p>
            <w:pPr>
              <w:spacing w:after="0"/>
              <w:rPr>
                <w:sz w:val="20"/>
                <w:szCs w:val="20"/>
                <w:color w:val="auto"/>
              </w:rPr>
            </w:pPr>
            <w:r>
              <w:rPr>
                <w:rFonts w:ascii="Arial" w:cs="Arial" w:eastAsia="Arial" w:hAnsi="Arial"/>
                <w:sz w:val="14"/>
                <w:szCs w:val="14"/>
                <w:color w:val="auto"/>
              </w:rPr>
              <w:t>Limited partners’ interests in consolidated partnerships</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4"/>
                <w:szCs w:val="14"/>
                <w:color w:val="auto"/>
              </w:rPr>
              <w:t>Total noncontrolling interests</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420"/>
              <w:spacing w:after="0"/>
              <w:rPr>
                <w:sz w:val="20"/>
                <w:szCs w:val="20"/>
                <w:color w:val="auto"/>
              </w:rPr>
            </w:pPr>
            <w:r>
              <w:rPr>
                <w:rFonts w:ascii="Arial" w:cs="Arial" w:eastAsia="Arial" w:hAnsi="Arial"/>
                <w:sz w:val="14"/>
                <w:szCs w:val="14"/>
                <w:color w:val="auto"/>
              </w:rPr>
              <w:t>Total capital</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960"/>
              <w:spacing w:after="0"/>
              <w:rPr>
                <w:sz w:val="20"/>
                <w:szCs w:val="20"/>
                <w:color w:val="auto"/>
              </w:rPr>
            </w:pPr>
            <w:r>
              <w:rPr>
                <w:rFonts w:ascii="Arial" w:cs="Arial" w:eastAsia="Arial" w:hAnsi="Arial"/>
                <w:sz w:val="14"/>
                <w:szCs w:val="14"/>
                <w:color w:val="auto"/>
              </w:rPr>
              <w:t>Total liabilities and capital</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r>
      <w:tr>
        <w:trPr>
          <w:trHeight w:val="798"/>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1,215,659</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1,273,606</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2,502,186</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2,604,229</w:t>
            </w:r>
          </w:p>
        </w:tc>
      </w:tr>
      <w:tr>
        <w:trPr>
          <w:trHeight w:val="276"/>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192,067</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224,077</w:t>
            </w:r>
          </w:p>
        </w:tc>
      </w:tr>
      <w:tr>
        <w:trPr>
          <w:trHeight w:val="244"/>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3,909,912</w:t>
            </w:r>
          </w:p>
        </w:tc>
        <w:tc>
          <w:tcPr>
            <w:tcW w:w="120" w:type="dxa"/>
            <w:vAlign w:val="bottom"/>
          </w:tcPr>
          <w:p>
            <w:pPr>
              <w:spacing w:after="0"/>
              <w:rPr>
                <w:sz w:val="21"/>
                <w:szCs w:val="21"/>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4,101,912</w:t>
            </w:r>
          </w:p>
        </w:tc>
      </w:tr>
      <w:tr>
        <w:trPr>
          <w:trHeight w:val="276"/>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782,749</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791,619</w:t>
            </w:r>
          </w:p>
        </w:tc>
      </w:tr>
      <w:tr>
        <w:trPr>
          <w:trHeight w:val="244"/>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3,127,163</w:t>
            </w:r>
          </w:p>
        </w:tc>
        <w:tc>
          <w:tcPr>
            <w:tcW w:w="120" w:type="dxa"/>
            <w:vAlign w:val="bottom"/>
          </w:tcPr>
          <w:p>
            <w:pPr>
              <w:spacing w:after="0"/>
              <w:rPr>
                <w:sz w:val="21"/>
                <w:szCs w:val="21"/>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3,310,293</w:t>
            </w:r>
          </w:p>
        </w:tc>
      </w:tr>
      <w:tr>
        <w:trPr>
          <w:trHeight w:val="276"/>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442,927</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386,882</w:t>
            </w:r>
          </w:p>
        </w:tc>
      </w:tr>
      <w:tr>
        <w:trPr>
          <w:trHeight w:val="244"/>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3,570,090</w:t>
            </w:r>
          </w:p>
        </w:tc>
        <w:tc>
          <w:tcPr>
            <w:tcW w:w="120" w:type="dxa"/>
            <w:vAlign w:val="bottom"/>
          </w:tcPr>
          <w:p>
            <w:pPr>
              <w:spacing w:after="0"/>
              <w:rPr>
                <w:sz w:val="21"/>
                <w:szCs w:val="21"/>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3,697,175</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22,349</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11,402</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6,472</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6,050</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26,601</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37,733</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49,990</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48,132</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23,751</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35,784</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69,506</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70,204</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42,459</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27,054</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23,429</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21,713</w:t>
            </w:r>
          </w:p>
        </w:tc>
      </w:tr>
      <w:tr>
        <w:trPr>
          <w:trHeight w:val="276"/>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18,811</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31,824</w:t>
            </w:r>
          </w:p>
        </w:tc>
      </w:tr>
      <w:tr>
        <w:trPr>
          <w:trHeight w:val="237"/>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3,853,458</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3,987,071</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85"/>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1,771,891</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1,942,440</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170,000</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40,000</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127,185</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101,899</w:t>
            </w:r>
          </w:p>
        </w:tc>
      </w:tr>
      <w:tr>
        <w:trPr>
          <w:trHeight w:val="351"/>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20,325</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12,662</w:t>
            </w:r>
          </w:p>
        </w:tc>
      </w:tr>
      <w:tr>
        <w:trPr>
          <w:trHeight w:val="276"/>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18,146</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20,416</w:t>
            </w:r>
          </w:p>
        </w:tc>
      </w:tr>
      <w:tr>
        <w:trPr>
          <w:trHeight w:val="250"/>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2,107,547</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2,117,417</w:t>
            </w:r>
          </w:p>
        </w:tc>
      </w:tr>
      <w:tr>
        <w:trPr>
          <w:trHeight w:val="1068"/>
        </w:trPr>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49,158</w:t>
            </w:r>
          </w:p>
        </w:tc>
      </w:tr>
      <w:tr>
        <w:trPr>
          <w:trHeight w:val="351"/>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325,000</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275,000</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1,463,480</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1,604,784</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(963)</w:t>
            </w:r>
          </w:p>
        </w:tc>
      </w:tr>
      <w:tr>
        <w:trPr>
          <w:trHeight w:val="276"/>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(57,715)</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(71,429)</w:t>
            </w:r>
          </w:p>
        </w:tc>
      </w:tr>
      <w:tr>
        <w:trPr>
          <w:trHeight w:val="250"/>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1,729,612</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1,856,550</w:t>
            </w:r>
          </w:p>
        </w:tc>
      </w:tr>
      <w:tr>
        <w:trPr>
          <w:trHeight w:val="534"/>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16,299</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13,104</w:t>
            </w:r>
          </w:p>
        </w:tc>
      </w:tr>
      <w:tr>
        <w:trPr>
          <w:trHeight w:val="250"/>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16,299</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13,104</w:t>
            </w:r>
          </w:p>
        </w:tc>
      </w:tr>
      <w:tr>
        <w:trPr>
          <w:trHeight w:val="250"/>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1,745,911</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1,869,654</w:t>
            </w:r>
          </w:p>
        </w:tc>
      </w:tr>
      <w:tr>
        <w:trPr>
          <w:trHeight w:val="237"/>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3,853,458</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3,987,071</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63" w:lineRule="exact"/>
        <w:rPr>
          <w:sz w:val="20"/>
          <w:szCs w:val="20"/>
          <w:color w:val="auto"/>
        </w:rPr>
      </w:pPr>
    </w:p>
    <w:p>
      <w:pPr>
        <w:sectPr>
          <w:pgSz w:w="11900" w:h="16838" w:orient="portrait"/>
          <w:cols w:equalWidth="0" w:num="2">
            <w:col w:w="8440" w:space="140"/>
            <w:col w:w="2840"/>
          </w:cols>
          <w:pgMar w:left="240" w:top="585" w:right="2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85" w:right="239" w:bottom="1440" w:gutter="0" w:footer="0" w:header="0"/>
          <w:type w:val="continuous"/>
        </w:sectPr>
      </w:pPr>
    </w:p>
    <w:bookmarkStart w:id="76" w:name="page77"/>
    <w:bookmarkEnd w:id="76"/>
    <w:p>
      <w:pPr>
        <w:jc w:val="center"/>
        <w:ind w:right="-479"/>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For the years ended December 31, 2012, 2011, and 2010</w:t>
      </w:r>
    </w:p>
    <w:p>
      <w:pPr>
        <w:spacing w:after="0" w:line="8"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(in thousands, except per unit data)</w:t>
      </w: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Minimum rent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359,350</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350,223</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332,159</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Recoveries from tenants and other income</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107,732</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105,899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104,092</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Management, transaction, and other fees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33,980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29,400</w:t>
            </w:r>
          </w:p>
        </w:tc>
        <w:tc>
          <w:tcPr>
            <w:tcW w:w="0" w:type="dxa"/>
            <w:vAlign w:val="bottom"/>
          </w:tcPr>
          <w:p>
            <w:pPr>
              <w:spacing w:after="0"/>
              <w:rPr>
                <w:sz w:val="1"/>
                <w:szCs w:val="1"/>
                <w:color w:val="auto"/>
              </w:rPr>
            </w:pPr>
          </w:p>
        </w:tc>
      </w:tr>
      <w:tr>
        <w:trPr>
          <w:trHeight w:val="217"/>
        </w:trPr>
        <w:tc>
          <w:tcPr>
            <w:tcW w:w="6220" w:type="dxa"/>
            <w:vAlign w:val="bottom"/>
          </w:tcPr>
          <w:p>
            <w:pPr>
              <w:ind w:left="90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496,920</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493,098</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468,191</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126,808</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128,963</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118,398</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Operating and maintenance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67,514</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61,700</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61,505</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Real estate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52,386</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Other expenses</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7,246</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6,719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6,297</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318,128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306,100</w:t>
            </w:r>
          </w:p>
        </w:tc>
        <w:tc>
          <w:tcPr>
            <w:tcW w:w="0" w:type="dxa"/>
            <w:vAlign w:val="bottom"/>
          </w:tcPr>
          <w:p>
            <w:pPr>
              <w:spacing w:after="0"/>
              <w:rPr>
                <w:sz w:val="1"/>
                <w:szCs w:val="1"/>
                <w:color w:val="auto"/>
              </w:rPr>
            </w:pPr>
          </w:p>
        </w:tc>
      </w:tr>
      <w:tr>
        <w:trPr>
          <w:trHeight w:val="204"/>
        </w:trPr>
        <w:tc>
          <w:tcPr>
            <w:tcW w:w="622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2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4"/>
              </w:rPr>
              <w:t>Interest expense, net of interest income of $1,675, $2,442, and $2,408 in 2012, 2011,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and 2010, respectively (note 9)</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112,129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123,645</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125,287</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Provision for impairment</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74,816</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12,424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19,886</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20"/>
        </w:trPr>
        <w:tc>
          <w:tcPr>
            <w:tcW w:w="6220" w:type="dxa"/>
            <w:vAlign w:val="bottom"/>
          </w:tcPr>
          <w:p>
            <w:pPr>
              <w:ind w:left="480"/>
              <w:spacing w:after="0"/>
              <w:rPr>
                <w:sz w:val="20"/>
                <w:szCs w:val="20"/>
                <w:color w:val="auto"/>
              </w:rPr>
            </w:pPr>
            <w:r>
              <w:rPr>
                <w:rFonts w:ascii="Arial" w:cs="Arial" w:eastAsia="Arial" w:hAnsi="Arial"/>
                <w:sz w:val="16"/>
                <w:szCs w:val="16"/>
                <w:color w:val="auto"/>
                <w:w w:val="96"/>
              </w:rPr>
              <w:t>Net investment (income) loss from deferred compensation plan, including unrealized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80"/>
              <w:spacing w:after="0"/>
              <w:rPr>
                <w:sz w:val="20"/>
                <w:szCs w:val="20"/>
                <w:color w:val="auto"/>
              </w:rPr>
            </w:pPr>
            <w:r>
              <w:rPr>
                <w:rFonts w:ascii="Arial" w:cs="Arial" w:eastAsia="Arial" w:hAnsi="Arial"/>
                <w:sz w:val="16"/>
                <w:szCs w:val="16"/>
                <w:color w:val="auto"/>
                <w:w w:val="91"/>
              </w:rPr>
              <w:t>(gains) losses of $(888), $567, and $(1,342) in 2012, 2011, and 2010, respectively (note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tcPr>
          <w:p>
            <w:pPr>
              <w:ind w:left="480"/>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(2,057)</w:t>
            </w:r>
          </w:p>
        </w:tc>
        <w:tc>
          <w:tcPr>
            <w:tcW w:w="1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147,434</w:t>
            </w:r>
          </w:p>
        </w:tc>
        <w:tc>
          <w:tcPr>
            <w:tcW w:w="0" w:type="dxa"/>
            <w:vAlign w:val="bottom"/>
          </w:tcPr>
          <w:p>
            <w:pPr>
              <w:spacing w:after="0"/>
              <w:rPr>
                <w:sz w:val="1"/>
                <w:szCs w:val="1"/>
                <w:color w:val="auto"/>
              </w:rPr>
            </w:pPr>
          </w:p>
        </w:tc>
      </w:tr>
      <w:tr>
        <w:trPr>
          <w:trHeight w:val="200"/>
        </w:trPr>
        <w:tc>
          <w:tcPr>
            <w:tcW w:w="6220" w:type="dxa"/>
            <w:vAlign w:val="bottom"/>
          </w:tcPr>
          <w:p>
            <w:pPr>
              <w:ind w:left="900"/>
              <w:spacing w:after="0"/>
              <w:rPr>
                <w:sz w:val="20"/>
                <w:szCs w:val="20"/>
                <w:color w:val="auto"/>
              </w:rPr>
            </w:pPr>
            <w:r>
              <w:rPr>
                <w:rFonts w:ascii="Arial" w:cs="Arial" w:eastAsia="Arial" w:hAnsi="Arial"/>
                <w:sz w:val="16"/>
                <w:szCs w:val="16"/>
                <w:color w:val="auto"/>
              </w:rPr>
              <w:t>(Loss) income before equity in income (loss) of investments in real estate</w:t>
            </w:r>
          </w:p>
        </w:tc>
        <w:tc>
          <w:tcPr>
            <w:tcW w:w="2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tcPr>
          <w:p>
            <w:pPr>
              <w:ind w:left="900"/>
              <w:spacing w:after="0"/>
              <w:rPr>
                <w:sz w:val="20"/>
                <w:szCs w:val="20"/>
                <w:color w:val="auto"/>
              </w:rPr>
            </w:pPr>
            <w:r>
              <w:rPr>
                <w:rFonts w:ascii="Arial" w:cs="Arial" w:eastAsia="Arial" w:hAnsi="Arial"/>
                <w:sz w:val="16"/>
                <w:szCs w:val="16"/>
                <w:color w:val="auto"/>
              </w:rPr>
              <w:t>partnerships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(10,078)</w:t>
            </w:r>
          </w:p>
        </w:tc>
        <w:tc>
          <w:tcPr>
            <w:tcW w:w="1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38,695</w:t>
            </w: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income (loss) of investments in real estate partnerships (note 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23,807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(12,884)</w:t>
            </w:r>
          </w:p>
        </w:tc>
        <w:tc>
          <w:tcPr>
            <w:tcW w:w="0" w:type="dxa"/>
            <w:vAlign w:val="bottom"/>
          </w:tcPr>
          <w:p>
            <w:pPr>
              <w:spacing w:after="0"/>
              <w:rPr>
                <w:sz w:val="1"/>
                <w:szCs w:val="1"/>
                <w:color w:val="auto"/>
              </w:rPr>
            </w:pPr>
          </w:p>
        </w:tc>
      </w:tr>
      <w:tr>
        <w:trPr>
          <w:trHeight w:val="217"/>
        </w:trPr>
        <w:tc>
          <w:tcPr>
            <w:tcW w:w="6220" w:type="dxa"/>
            <w:vAlign w:val="bottom"/>
          </w:tcPr>
          <w:p>
            <w:pPr>
              <w:ind w:left="900"/>
              <w:spacing w:after="0"/>
              <w:rPr>
                <w:sz w:val="20"/>
                <w:szCs w:val="20"/>
                <w:color w:val="auto"/>
              </w:rPr>
            </w:pPr>
            <w:r>
              <w:rPr>
                <w:rFonts w:ascii="Arial" w:cs="Arial" w:eastAsia="Arial" w:hAnsi="Arial"/>
                <w:sz w:val="16"/>
                <w:szCs w:val="16"/>
                <w:color w:val="auto"/>
              </w:rPr>
              <w:t>Income from continuing operations before tax</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13,729</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48,338</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 of taxable REIT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7"/>
        </w:trPr>
        <w:tc>
          <w:tcPr>
            <w:tcW w:w="6220" w:type="dxa"/>
            <w:vAlign w:val="bottom"/>
          </w:tcPr>
          <w:p>
            <w:pPr>
              <w:ind w:left="90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45,344</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 net (note 3):</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1,691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Gain on sale of operating properties,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7,577</w:t>
            </w:r>
          </w:p>
        </w:tc>
        <w:tc>
          <w:tcPr>
            <w:tcW w:w="0" w:type="dxa"/>
            <w:vAlign w:val="bottom"/>
          </w:tcPr>
          <w:p>
            <w:pPr>
              <w:spacing w:after="0"/>
              <w:rPr>
                <w:sz w:val="1"/>
                <w:szCs w:val="1"/>
                <w:color w:val="auto"/>
              </w:rPr>
            </w:pPr>
          </w:p>
        </w:tc>
      </w:tr>
      <w:tr>
        <w:trPr>
          <w:trHeight w:val="217"/>
        </w:trPr>
        <w:tc>
          <w:tcPr>
            <w:tcW w:w="6220" w:type="dxa"/>
            <w:vAlign w:val="bottom"/>
          </w:tcPr>
          <w:p>
            <w:pPr>
              <w:ind w:left="900"/>
              <w:spacing w:after="0"/>
              <w:rPr>
                <w:sz w:val="20"/>
                <w:szCs w:val="20"/>
                <w:color w:val="auto"/>
              </w:rPr>
            </w:pPr>
            <w:r>
              <w:rPr>
                <w:rFonts w:ascii="Arial" w:cs="Arial" w:eastAsia="Arial" w:hAnsi="Arial"/>
                <w:sz w:val="16"/>
                <w:szCs w:val="16"/>
                <w:color w:val="auto"/>
              </w:rPr>
              <w:t>Income from discontinued operations</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23,546</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8,902</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Income before 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12,008</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color w:val="auto"/>
              </w:rPr>
              <w:t>Gain on sale of real estate</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2,158</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2,404</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26,209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55,788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13,001</w:t>
            </w:r>
          </w:p>
        </w:tc>
        <w:tc>
          <w:tcPr>
            <w:tcW w:w="0" w:type="dxa"/>
            <w:vAlign w:val="bottom"/>
          </w:tcPr>
          <w:p>
            <w:pPr>
              <w:spacing w:after="0"/>
              <w:rPr>
                <w:sz w:val="1"/>
                <w:szCs w:val="1"/>
                <w:color w:val="auto"/>
              </w:rPr>
            </w:pPr>
          </w:p>
        </w:tc>
      </w:tr>
      <w:tr>
        <w:trPr>
          <w:trHeight w:val="204"/>
        </w:trPr>
        <w:tc>
          <w:tcPr>
            <w:tcW w:w="62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Limited partners’ interests in consolidated partnerships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7"/>
        </w:trPr>
        <w:tc>
          <w:tcPr>
            <w:tcW w:w="6220" w:type="dxa"/>
            <w:vAlign w:val="bottom"/>
          </w:tcPr>
          <w:p>
            <w:pPr>
              <w:ind w:left="900"/>
              <w:spacing w:after="0"/>
              <w:rPr>
                <w:sz w:val="20"/>
                <w:szCs w:val="20"/>
                <w:color w:val="auto"/>
              </w:rPr>
            </w:pPr>
            <w:r>
              <w:rPr>
                <w:rFonts w:ascii="Arial" w:cs="Arial" w:eastAsia="Arial" w:hAnsi="Arial"/>
                <w:sz w:val="16"/>
                <w:szCs w:val="16"/>
                <w:color w:val="auto"/>
              </w:rPr>
              <w:t>Income attributable to noncontrolling interests</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income attributable to the Partnership</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12,625</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color w:val="auto"/>
              </w:rPr>
              <w:t>Preferred unit distributions</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(31,902)</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(23,400)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(23,400)</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(loss) income attributable to common unit holders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(10,775)</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(Loss) income per common unit - basic (note 14):</w:t>
            </w: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(loss) income attributable to common unit holders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(Loss) income per common unit - diluted (note 14):</w:t>
            </w: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6220" w:type="dxa"/>
            <w:vAlign w:val="bottom"/>
          </w:tcPr>
          <w:p>
            <w:pPr>
              <w:ind w:left="48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(loss) income attributable to common unit holders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0940"/>
          </w:cols>
          <w:pgMar w:left="240" w:top="585" w:right="719" w:bottom="555" w:gutter="0" w:footer="0" w:header="0"/>
        </w:sectPr>
      </w:pPr>
    </w:p>
    <w:p>
      <w:pPr>
        <w:spacing w:after="0" w:line="24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940"/>
          </w:cols>
          <w:pgMar w:left="240" w:top="585" w:right="719" w:bottom="555" w:gutter="0" w:footer="0" w:header="0"/>
          <w:type w:val="continuous"/>
        </w:sectPr>
      </w:pPr>
    </w:p>
    <w:bookmarkStart w:id="77" w:name="page78"/>
    <w:bookmarkEnd w:id="77"/>
    <w:p>
      <w:pPr>
        <w:jc w:val="center"/>
        <w:ind w:right="20"/>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55,788</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13,001</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settlement of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60"/>
              <w:spacing w:after="0"/>
              <w:rPr>
                <w:sz w:val="20"/>
                <w:szCs w:val="20"/>
                <w:color w:val="auto"/>
              </w:rPr>
            </w:pPr>
            <w:r>
              <w:rPr>
                <w:rFonts w:ascii="Arial" w:cs="Arial" w:eastAsia="Arial" w:hAnsi="Arial"/>
                <w:sz w:val="18"/>
                <w:szCs w:val="18"/>
                <w:color w:val="auto"/>
              </w:rPr>
              <w:t>Unrealized loss on derivative instruments</w:t>
            </w:r>
          </w:p>
        </w:tc>
        <w:tc>
          <w:tcPr>
            <w:tcW w:w="2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(61,625)</w:t>
            </w: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Amortization of loss on settlement of derivative instruments recognized in</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5,575</w:t>
            </w: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Effective portion of change in fair value of derivative instruments: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Effective portion of change in fair value of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28,363</w:t>
            </w: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Less: reclassification adjustment for change in fair value of derivative</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instruments included in net income</w:t>
            </w:r>
          </w:p>
        </w:tc>
        <w:tc>
          <w:tcPr>
            <w:tcW w:w="2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(3,294)</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(30,981)</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39,920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65,273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(17,980)</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Less: comprehensive income (loss)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3"/>
              </w:rPr>
              <w:t>Other comprehensive (loss)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Pr>
          <w:p>
            <w:pPr>
              <w:ind w:left="48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Comprehensive income (loss) attributable to the Partnership</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39,086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64,674</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r>
      <w:tr>
        <w:trPr>
          <w:trHeight w:val="20"/>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40"/>
          </w:cols>
          <w:pgMar w:left="540" w:top="585" w:right="51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Capital</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8"/>
          <w:szCs w:val="18"/>
          <w:b w:val="1"/>
          <w:bCs w:val="1"/>
          <w:color w:val="auto"/>
        </w:rPr>
        <w:t>years</w:t>
      </w:r>
      <w:r>
        <w:rPr>
          <w:rFonts w:ascii="Arial" w:cs="Arial" w:eastAsia="Arial" w:hAnsi="Arial"/>
          <w:sz w:val="16"/>
          <w:szCs w:val="16"/>
          <w:b w:val="1"/>
          <w:bCs w:val="1"/>
          <w:color w:val="auto"/>
        </w:rPr>
        <w:t xml:space="preserve"> ended </w:t>
      </w:r>
      <w:r>
        <w:rPr>
          <w:rFonts w:ascii="Arial" w:cs="Arial" w:eastAsia="Arial" w:hAnsi="Arial"/>
          <w:sz w:val="18"/>
          <w:szCs w:val="18"/>
          <w:b w:val="1"/>
          <w:bCs w:val="1"/>
          <w:color w:val="auto"/>
        </w:rPr>
        <w:t>December 31, 2012</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2011</w:t>
      </w:r>
      <w:r>
        <w:rPr>
          <w:rFonts w:ascii="Arial" w:cs="Arial" w:eastAsia="Arial" w:hAnsi="Arial"/>
          <w:sz w:val="16"/>
          <w:szCs w:val="16"/>
          <w:b w:val="1"/>
          <w:bCs w:val="1"/>
          <w:color w:val="auto"/>
        </w:rPr>
        <w:t xml:space="preserve">, and </w:t>
      </w:r>
      <w:r>
        <w:rPr>
          <w:rFonts w:ascii="Arial" w:cs="Arial" w:eastAsia="Arial" w:hAnsi="Arial"/>
          <w:sz w:val="18"/>
          <w:szCs w:val="18"/>
          <w:b w:val="1"/>
          <w:bCs w:val="1"/>
          <w:color w:val="auto"/>
        </w:rPr>
        <w:t>2010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General Partner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Limited Partners’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124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Limited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10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Preferred and</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 Units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Partners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Partnerships</w:t>
            </w:r>
          </w:p>
        </w:tc>
        <w:tc>
          <w:tcPr>
            <w:tcW w:w="1020" w:type="dxa"/>
            <w:vAlign w:val="bottom"/>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36"/>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2009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49,158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1,912,353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7,321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1,918,859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1,930,607</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8,816</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12,625</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13,001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(30,981)</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Deferred compensation plan, net (note 13)</w:t>
            </w: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partners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Distributions to partners</w:t>
            </w: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(150,499)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(150,967)</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(152,423)</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(19,675)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(23,400)</w:t>
            </w:r>
          </w:p>
        </w:tc>
        <w:tc>
          <w:tcPr>
            <w:tcW w:w="0" w:type="dxa"/>
            <w:vAlign w:val="bottom"/>
          </w:tcPr>
          <w:p>
            <w:pPr>
              <w:spacing w:after="0"/>
              <w:rPr>
                <w:sz w:val="1"/>
                <w:szCs w:val="1"/>
                <w:color w:val="auto"/>
              </w:rPr>
            </w:pPr>
          </w:p>
        </w:tc>
      </w:tr>
      <w:tr>
        <w:trPr>
          <w:trHeight w:val="220"/>
        </w:trPr>
        <w:tc>
          <w:tcPr>
            <w:tcW w:w="3320" w:type="dxa"/>
            <w:vAlign w:val="bottom"/>
          </w:tcPr>
          <w:p>
            <w:pPr>
              <w:ind w:left="40"/>
              <w:spacing w:after="0"/>
              <w:rPr>
                <w:sz w:val="20"/>
                <w:szCs w:val="20"/>
                <w:color w:val="auto"/>
              </w:rPr>
            </w:pPr>
            <w:r>
              <w:rPr>
                <w:rFonts w:ascii="Arial" w:cs="Arial" w:eastAsia="Arial" w:hAnsi="Arial"/>
                <w:sz w:val="16"/>
                <w:szCs w:val="16"/>
                <w:color w:val="auto"/>
                <w:w w:val="93"/>
              </w:rPr>
              <w:t>Restricted units issued as a result of amortization</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6"/>
                <w:szCs w:val="16"/>
                <w:color w:val="auto"/>
              </w:rPr>
              <w:t>of restricted stock issued by Parent Company</w:t>
            </w:r>
          </w:p>
        </w:tc>
        <w:tc>
          <w:tcPr>
            <w:tcW w:w="1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7,236</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7,236</w:t>
            </w: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7,236</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units issued as a result of common stock</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issued by Parent Company, net of repurchases</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20"/>
        </w:trPr>
        <w:tc>
          <w:tcPr>
            <w:tcW w:w="3320" w:type="dxa"/>
            <w:vAlign w:val="bottom"/>
          </w:tcPr>
          <w:p>
            <w:pPr>
              <w:ind w:left="40"/>
              <w:spacing w:after="0"/>
              <w:rPr>
                <w:sz w:val="20"/>
                <w:szCs w:val="20"/>
                <w:color w:val="auto"/>
              </w:rPr>
            </w:pPr>
            <w:r>
              <w:rPr>
                <w:rFonts w:ascii="Arial" w:cs="Arial" w:eastAsia="Arial" w:hAnsi="Arial"/>
                <w:sz w:val="16"/>
                <w:szCs w:val="16"/>
                <w:color w:val="auto"/>
                <w:w w:val="97"/>
              </w:rPr>
              <w:t>Common units exchanged for common stock of</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6"/>
                <w:szCs w:val="16"/>
                <w:color w:val="auto"/>
              </w:rPr>
              <w:t>Parent Company</w:t>
            </w:r>
          </w:p>
        </w:tc>
        <w:tc>
          <w:tcPr>
            <w:tcW w:w="1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7,630</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49,158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1,766,062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(80,885)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1,733,573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1,744,402</w:t>
            </w:r>
          </w:p>
        </w:tc>
        <w:tc>
          <w:tcPr>
            <w:tcW w:w="0" w:type="dxa"/>
            <w:vAlign w:val="bottom"/>
          </w:tcPr>
          <w:p>
            <w:pPr>
              <w:spacing w:after="0"/>
              <w:rPr>
                <w:sz w:val="1"/>
                <w:szCs w:val="1"/>
                <w:color w:val="auto"/>
              </w:rPr>
            </w:pPr>
          </w:p>
        </w:tc>
      </w:tr>
      <w:tr>
        <w:trPr>
          <w:trHeight w:val="217"/>
        </w:trPr>
        <w:tc>
          <w:tcPr>
            <w:tcW w:w="33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51,370</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55,198</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55,788</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9,456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9,476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9,485</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Deferred compensation plan, net</w:t>
            </w: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17,843</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17,843</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17,843</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partners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2,787</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Distributions to partners</w:t>
            </w: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(161,236)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(161,560)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(162,671)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(19,675)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(23,400)</w:t>
            </w:r>
          </w:p>
        </w:tc>
        <w:tc>
          <w:tcPr>
            <w:tcW w:w="0" w:type="dxa"/>
            <w:vAlign w:val="bottom"/>
          </w:tcPr>
          <w:p>
            <w:pPr>
              <w:spacing w:after="0"/>
              <w:rPr>
                <w:sz w:val="1"/>
                <w:szCs w:val="1"/>
                <w:color w:val="auto"/>
              </w:rPr>
            </w:pPr>
          </w:p>
        </w:tc>
      </w:tr>
      <w:tr>
        <w:trPr>
          <w:trHeight w:val="220"/>
        </w:trPr>
        <w:tc>
          <w:tcPr>
            <w:tcW w:w="3320" w:type="dxa"/>
            <w:vAlign w:val="bottom"/>
          </w:tcPr>
          <w:p>
            <w:pPr>
              <w:ind w:left="40"/>
              <w:spacing w:after="0"/>
              <w:rPr>
                <w:sz w:val="20"/>
                <w:szCs w:val="20"/>
                <w:color w:val="auto"/>
              </w:rPr>
            </w:pPr>
            <w:r>
              <w:rPr>
                <w:rFonts w:ascii="Arial" w:cs="Arial" w:eastAsia="Arial" w:hAnsi="Arial"/>
                <w:sz w:val="16"/>
                <w:szCs w:val="16"/>
                <w:color w:val="auto"/>
                <w:w w:val="93"/>
              </w:rPr>
              <w:t>Restricted units issued as a result of amortization</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6"/>
                <w:szCs w:val="16"/>
                <w:color w:val="auto"/>
              </w:rPr>
              <w:t>of restricted stock issued by Parent Company</w:t>
            </w:r>
          </w:p>
        </w:tc>
        <w:tc>
          <w:tcPr>
            <w:tcW w:w="1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10,659</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10,659</w:t>
            </w: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10,659</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units issued as a result of common stock</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issued by Parent Company, net of repurchases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214,761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214,761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214,761</w:t>
            </w:r>
          </w:p>
        </w:tc>
        <w:tc>
          <w:tcPr>
            <w:tcW w:w="0" w:type="dxa"/>
            <w:vAlign w:val="bottom"/>
          </w:tcPr>
          <w:p>
            <w:pPr>
              <w:spacing w:after="0"/>
              <w:rPr>
                <w:sz w:val="1"/>
                <w:szCs w:val="1"/>
                <w:color w:val="auto"/>
              </w:rPr>
            </w:pPr>
          </w:p>
        </w:tc>
      </w:tr>
      <w:tr>
        <w:trPr>
          <w:trHeight w:val="217"/>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49,158</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1,879,784</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(71,429)</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1,856,550</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13,104</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1,869,654</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25,867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25,344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26,209</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13,714</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13,742</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13,711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 plan,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Contributions from partners</w:t>
            </w: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3,362</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936"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Capital</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8"/>
          <w:szCs w:val="18"/>
          <w:b w:val="1"/>
          <w:bCs w:val="1"/>
          <w:color w:val="auto"/>
        </w:rPr>
        <w:t>years</w:t>
      </w:r>
      <w:r>
        <w:rPr>
          <w:rFonts w:ascii="Arial" w:cs="Arial" w:eastAsia="Arial" w:hAnsi="Arial"/>
          <w:sz w:val="16"/>
          <w:szCs w:val="16"/>
          <w:b w:val="1"/>
          <w:bCs w:val="1"/>
          <w:color w:val="auto"/>
        </w:rPr>
        <w:t xml:space="preserve"> ended </w:t>
      </w:r>
      <w:r>
        <w:rPr>
          <w:rFonts w:ascii="Arial" w:cs="Arial" w:eastAsia="Arial" w:hAnsi="Arial"/>
          <w:sz w:val="18"/>
          <w:szCs w:val="18"/>
          <w:b w:val="1"/>
          <w:bCs w:val="1"/>
          <w:color w:val="auto"/>
        </w:rPr>
        <w:t>December 31, 2012</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2011</w:t>
      </w:r>
      <w:r>
        <w:rPr>
          <w:rFonts w:ascii="Arial" w:cs="Arial" w:eastAsia="Arial" w:hAnsi="Arial"/>
          <w:sz w:val="16"/>
          <w:szCs w:val="16"/>
          <w:b w:val="1"/>
          <w:bCs w:val="1"/>
          <w:color w:val="auto"/>
        </w:rPr>
        <w:t xml:space="preserve">, and </w:t>
      </w:r>
      <w:r>
        <w:rPr>
          <w:rFonts w:ascii="Arial" w:cs="Arial" w:eastAsia="Arial" w:hAnsi="Arial"/>
          <w:sz w:val="18"/>
          <w:szCs w:val="18"/>
          <w:b w:val="1"/>
          <w:bCs w:val="1"/>
          <w:color w:val="auto"/>
        </w:rPr>
        <w:t>2010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General Partner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Limited Partners’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Preferred</w:t>
            </w:r>
          </w:p>
        </w:tc>
        <w:tc>
          <w:tcPr>
            <w:tcW w:w="1240" w:type="dxa"/>
            <w:vAlign w:val="bottom"/>
            <w:gridSpan w:val="2"/>
            <w:vMerge w:val="continue"/>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Limited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10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Preferred and</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Partners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Partnerships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partners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(165,411)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(165,735)</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(166,736)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Redemption of preferred units</w:t>
            </w:r>
          </w:p>
        </w:tc>
        <w:tc>
          <w:tcPr>
            <w:tcW w:w="14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(48,125)</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(48,125)</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(48,125)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(23,658)</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4"/>
              </w:rPr>
              <w:t>Restricted units issued as a result of amortization</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of restricted stock issued by Parent Company</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11,526</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11,526</w:t>
            </w: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11,526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Preferred units issued as a result of preferred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stock issued by Parent Company, net of issuance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313,900</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313,900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313,900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Preferred stock redemptions</w:t>
            </w: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units issued as a result of common stock</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issued by Parent Company, net of repurchases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21,056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21,056</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21,056</w:t>
            </w:r>
          </w:p>
        </w:tc>
        <w:tc>
          <w:tcPr>
            <w:tcW w:w="0" w:type="dxa"/>
            <w:vAlign w:val="bottom"/>
          </w:tcPr>
          <w:p>
            <w:pPr>
              <w:spacing w:after="0"/>
              <w:rPr>
                <w:sz w:val="1"/>
                <w:szCs w:val="1"/>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1,788,480</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(1,153)</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(57,715)</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1,729,612</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16,299</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1,745,911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20" w:right="239" w:bottom="1440" w:gutter="0" w:footer="0" w:header="0"/>
        </w:sectPr>
      </w:pPr>
    </w:p>
    <w:bookmarkStart w:id="80" w:name="page81"/>
    <w:bookmarkEnd w:id="80"/>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2012, 2011, and 2010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2010</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60"/>
        </w:trPr>
        <w:tc>
          <w:tcPr>
            <w:tcW w:w="69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26,209</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55,788</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13,001</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127,839</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133,756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123,933</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deferred loan cost and debt premium</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8,533</w:t>
            </w:r>
          </w:p>
        </w:tc>
      </w:tr>
      <w:tr>
        <w:trPr>
          <w:trHeight w:val="237"/>
        </w:trPr>
        <w:tc>
          <w:tcPr>
            <w:tcW w:w="6940" w:type="dxa"/>
            <w:vAlign w:val="bottom"/>
          </w:tcPr>
          <w:p>
            <w:pPr>
              <w:ind w:left="700"/>
              <w:spacing w:after="0"/>
              <w:rPr>
                <w:sz w:val="20"/>
                <w:szCs w:val="20"/>
                <w:color w:val="auto"/>
              </w:rPr>
            </w:pPr>
            <w:r>
              <w:rPr>
                <w:rFonts w:ascii="Arial" w:cs="Arial" w:eastAsia="Arial" w:hAnsi="Arial"/>
                <w:sz w:val="16"/>
                <w:szCs w:val="16"/>
                <w:color w:val="auto"/>
              </w:rPr>
              <w:t>Amortization and (accretion) of above and below market lease intangibles, net</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Stock-based compensation, net of capitalization</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6,615</w:t>
            </w:r>
          </w:p>
        </w:tc>
      </w:tr>
      <w:tr>
        <w:trPr>
          <w:trHeight w:val="237"/>
        </w:trPr>
        <w:tc>
          <w:tcPr>
            <w:tcW w:w="6940" w:type="dxa"/>
            <w:vAlign w:val="bottom"/>
          </w:tcPr>
          <w:p>
            <w:pPr>
              <w:ind w:left="700"/>
              <w:spacing w:after="0"/>
              <w:rPr>
                <w:sz w:val="20"/>
                <w:szCs w:val="20"/>
                <w:color w:val="auto"/>
              </w:rPr>
            </w:pPr>
            <w:r>
              <w:rPr>
                <w:rFonts w:ascii="Arial" w:cs="Arial" w:eastAsia="Arial" w:hAnsi="Arial"/>
                <w:sz w:val="16"/>
                <w:szCs w:val="16"/>
                <w:color w:val="auto"/>
              </w:rPr>
              <w:t>Equity in (income) loss of investments in real estate partnerships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(23,807)</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(9,643)</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12,884</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gain on sale of properties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(8,648)</w:t>
            </w:r>
          </w:p>
        </w:tc>
      </w:tr>
      <w:tr>
        <w:trPr>
          <w:trHeight w:val="237"/>
        </w:trPr>
        <w:tc>
          <w:tcPr>
            <w:tcW w:w="6940" w:type="dxa"/>
            <w:vAlign w:val="bottom"/>
          </w:tcPr>
          <w:p>
            <w:pPr>
              <w:ind w:left="700"/>
              <w:spacing w:after="0"/>
              <w:rPr>
                <w:sz w:val="20"/>
                <w:szCs w:val="20"/>
                <w:color w:val="auto"/>
              </w:rPr>
            </w:pPr>
            <w:r>
              <w:rPr>
                <w:rFonts w:ascii="Arial" w:cs="Arial" w:eastAsia="Arial" w:hAnsi="Arial"/>
                <w:sz w:val="16"/>
                <w:szCs w:val="16"/>
                <w:color w:val="auto"/>
              </w:rPr>
              <w:t>Provision for impairment</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74,816</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15,883</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26,615</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Early extinguishment of debt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4,243</w:t>
            </w:r>
          </w:p>
        </w:tc>
      </w:tr>
      <w:tr>
        <w:trPr>
          <w:trHeight w:val="237"/>
        </w:trPr>
        <w:tc>
          <w:tcPr>
            <w:tcW w:w="6940" w:type="dxa"/>
            <w:vAlign w:val="bottom"/>
          </w:tcPr>
          <w:p>
            <w:pPr>
              <w:ind w:left="700"/>
              <w:spacing w:after="0"/>
              <w:rPr>
                <w:sz w:val="20"/>
                <w:szCs w:val="20"/>
                <w:color w:val="auto"/>
              </w:rPr>
            </w:pPr>
            <w:r>
              <w:rPr>
                <w:rFonts w:ascii="Arial" w:cs="Arial" w:eastAsia="Arial" w:hAnsi="Arial"/>
                <w:sz w:val="16"/>
                <w:szCs w:val="16"/>
                <w:color w:val="auto"/>
              </w:rPr>
              <w:t>Deferred income tax expense (benefit) of taxable REIT subsidiary</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13,727</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Distribution of earnings from operations of investments in real estate partnerships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44,809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41,054</w:t>
            </w:r>
          </w:p>
        </w:tc>
      </w:tr>
      <w:tr>
        <w:trPr>
          <w:trHeight w:val="237"/>
        </w:trPr>
        <w:tc>
          <w:tcPr>
            <w:tcW w:w="6940" w:type="dxa"/>
            <w:vAlign w:val="bottom"/>
          </w:tcPr>
          <w:p>
            <w:pPr>
              <w:ind w:left="700"/>
              <w:spacing w:after="0"/>
              <w:rPr>
                <w:sz w:val="20"/>
                <w:szCs w:val="20"/>
                <w:color w:val="auto"/>
              </w:rPr>
            </w:pPr>
            <w:r>
              <w:rPr>
                <w:rFonts w:ascii="Arial" w:cs="Arial" w:eastAsia="Arial" w:hAnsi="Arial"/>
                <w:sz w:val="16"/>
                <w:szCs w:val="16"/>
                <w:color w:val="auto"/>
              </w:rPr>
              <w:t>Settlement of derivative instruments</w:t>
            </w:r>
          </w:p>
        </w:tc>
        <w:tc>
          <w:tcPr>
            <w:tcW w:w="4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(63,435)</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(Gain) loss on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37"/>
        </w:trPr>
        <w:tc>
          <w:tcPr>
            <w:tcW w:w="6940" w:type="dxa"/>
            <w:vAlign w:val="bottom"/>
          </w:tcPr>
          <w:p>
            <w:pPr>
              <w:ind w:left="700"/>
              <w:spacing w:after="0"/>
              <w:rPr>
                <w:sz w:val="20"/>
                <w:szCs w:val="20"/>
                <w:color w:val="auto"/>
              </w:rPr>
            </w:pPr>
            <w:r>
              <w:rPr>
                <w:rFonts w:ascii="Arial" w:cs="Arial" w:eastAsia="Arial" w:hAnsi="Arial"/>
                <w:sz w:val="16"/>
                <w:szCs w:val="16"/>
                <w:color w:val="auto"/>
              </w:rPr>
              <w:t>Deferred compensation expense (income)</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2,069</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5,068</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Realized and unrealized (gain) loss on trading securities held in trust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w:t>
            </w:r>
          </w:p>
        </w:tc>
      </w:tr>
      <w:tr>
        <w:trPr>
          <w:trHeight w:val="224"/>
        </w:trPr>
        <w:tc>
          <w:tcPr>
            <w:tcW w:w="6940" w:type="dxa"/>
            <w:vAlign w:val="bottom"/>
          </w:tcPr>
          <w:p>
            <w:pPr>
              <w:ind w:left="700"/>
              <w:spacing w:after="0"/>
              <w:rPr>
                <w:sz w:val="20"/>
                <w:szCs w:val="20"/>
                <w:color w:val="auto"/>
              </w:rPr>
            </w:pPr>
            <w:r>
              <w:rPr>
                <w:rFonts w:ascii="Arial" w:cs="Arial" w:eastAsia="Arial" w:hAnsi="Arial"/>
                <w:sz w:val="16"/>
                <w:szCs w:val="16"/>
                <w:color w:val="auto"/>
              </w:rPr>
              <w:t>Changes in assets and liabilities:</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6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69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Restricted cash</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r>
      <w:tr>
        <w:trPr>
          <w:trHeight w:val="237"/>
        </w:trPr>
        <w:tc>
          <w:tcPr>
            <w:tcW w:w="6940" w:type="dxa"/>
            <w:vAlign w:val="bottom"/>
          </w:tcPr>
          <w:p>
            <w:pPr>
              <w:ind w:left="1360"/>
              <w:spacing w:after="0"/>
              <w:rPr>
                <w:sz w:val="20"/>
                <w:szCs w:val="20"/>
                <w:color w:val="auto"/>
              </w:rPr>
            </w:pPr>
            <w:r>
              <w:rPr>
                <w:rFonts w:ascii="Arial" w:cs="Arial" w:eastAsia="Arial" w:hAnsi="Arial"/>
                <w:sz w:val="16"/>
                <w:szCs w:val="16"/>
                <w:color w:val="auto"/>
              </w:rPr>
              <w:t>Accounts receivable</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6,157</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2,657</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Straight-line rent receivables, net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r>
      <w:tr>
        <w:trPr>
          <w:trHeight w:val="237"/>
        </w:trPr>
        <w:tc>
          <w:tcPr>
            <w:tcW w:w="6940" w:type="dxa"/>
            <w:vAlign w:val="bottom"/>
          </w:tcPr>
          <w:p>
            <w:pPr>
              <w:ind w:left="1360"/>
              <w:spacing w:after="0"/>
              <w:rPr>
                <w:sz w:val="20"/>
                <w:szCs w:val="20"/>
                <w:color w:val="auto"/>
              </w:rPr>
            </w:pPr>
            <w:r>
              <w:rPr>
                <w:rFonts w:ascii="Arial" w:cs="Arial" w:eastAsia="Arial" w:hAnsi="Arial"/>
                <w:sz w:val="16"/>
                <w:szCs w:val="16"/>
                <w:color w:val="auto"/>
              </w:rPr>
              <w:t>Deferred leasing costs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(12,642)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(15,013)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(15,563)</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(3,821)</w:t>
            </w:r>
          </w:p>
        </w:tc>
      </w:tr>
      <w:tr>
        <w:trPr>
          <w:trHeight w:val="237"/>
        </w:trPr>
        <w:tc>
          <w:tcPr>
            <w:tcW w:w="6940" w:type="dxa"/>
            <w:vAlign w:val="bottom"/>
          </w:tcPr>
          <w:p>
            <w:pPr>
              <w:ind w:left="1360"/>
              <w:spacing w:after="0"/>
              <w:rPr>
                <w:sz w:val="20"/>
                <w:szCs w:val="20"/>
                <w:color w:val="auto"/>
              </w:rPr>
            </w:pPr>
            <w:r>
              <w:rPr>
                <w:rFonts w:ascii="Arial" w:cs="Arial" w:eastAsia="Arial" w:hAnsi="Arial"/>
                <w:sz w:val="16"/>
                <w:szCs w:val="16"/>
                <w:color w:val="auto"/>
              </w:rPr>
              <w:t>Accounts payable and other liabilities</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10,994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(17,892)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Tenants’ security and escrow deposits and prepaid rent</w:t>
            </w:r>
          </w:p>
        </w:tc>
        <w:tc>
          <w:tcPr>
            <w:tcW w:w="4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17"/>
        </w:trPr>
        <w:tc>
          <w:tcPr>
            <w:tcW w:w="6940" w:type="dxa"/>
            <w:vAlign w:val="bottom"/>
          </w:tcPr>
          <w:p>
            <w:pPr>
              <w:ind w:left="1780"/>
              <w:spacing w:after="0"/>
              <w:rPr>
                <w:sz w:val="20"/>
                <w:szCs w:val="20"/>
                <w:color w:val="auto"/>
              </w:rPr>
            </w:pPr>
            <w:r>
              <w:rPr>
                <w:rFonts w:ascii="Arial" w:cs="Arial" w:eastAsia="Arial" w:hAnsi="Arial"/>
                <w:sz w:val="16"/>
                <w:szCs w:val="16"/>
                <w:color w:val="auto"/>
              </w:rPr>
              <w:t>Net cash provided by operating activities</w:t>
            </w:r>
          </w:p>
        </w:tc>
        <w:tc>
          <w:tcPr>
            <w:tcW w:w="480" w:type="dxa"/>
            <w:vAlign w:val="bottom"/>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257,215</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217,633</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138,459</w:t>
            </w:r>
          </w:p>
        </w:tc>
      </w:tr>
      <w:tr>
        <w:trPr>
          <w:trHeight w:val="33"/>
        </w:trPr>
        <w:tc>
          <w:tcPr>
            <w:tcW w:w="6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60"/>
        </w:trPr>
        <w:tc>
          <w:tcPr>
            <w:tcW w:w="69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Acquisition of operating real estate</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(156,026)</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(70,629)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(24,569)</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development and capital improvements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(65,889)</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Proceeds from sale of real estate investments</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352,707</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86,233</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47,333</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collection of notes receivable</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Investments in real estate partnerships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(66,663)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(198,688)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(231,847)</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received from investments in real estate partnerships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188,514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90,092</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Dividends on trading securities held in trust</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trading securities held in trust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(10,312)</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Proceeds from sale of trading securities held in trust</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18,077</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18,146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9,555</w:t>
            </w:r>
          </w:p>
        </w:tc>
      </w:tr>
      <w:tr>
        <w:trPr>
          <w:trHeight w:val="33"/>
        </w:trPr>
        <w:tc>
          <w:tcPr>
            <w:tcW w:w="6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6"/>
                <w:szCs w:val="16"/>
                <w:color w:val="auto"/>
              </w:rPr>
              <w:t>Net cash provided by (used in) investing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(77,723)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(184,457)</w:t>
            </w:r>
          </w:p>
        </w:tc>
      </w:tr>
      <w:tr>
        <w:trPr>
          <w:trHeight w:val="204"/>
        </w:trPr>
        <w:tc>
          <w:tcPr>
            <w:tcW w:w="69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4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60"/>
        </w:trPr>
        <w:tc>
          <w:tcPr>
            <w:tcW w:w="6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5"/>
              </w:rPr>
              <w:t>Net proceeds from common units issued as a result of common stock issued by Parent Company</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215,369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w w:val="94"/>
              </w:rPr>
              <w:t>Net proceeds from preferred units issued as a result of preferred stock issued by Parent Company</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313,900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treasury stock</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Acquisition of treasury stock</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Redemption of preferred partnership units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(323,125)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Distributions to limited partners in consolidated partnerships, net</w:t>
            </w:r>
          </w:p>
        </w:tc>
        <w:tc>
          <w:tcPr>
            <w:tcW w:w="4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(1,427)</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partners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(164,747)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(160,478)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(149,117)</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Distributions to preferred unit holders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(23,658)</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(23,400)</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fixed rate unsecured notes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(181,691)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(209,879)</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Proceeds from issuance of fixed rate unsecured notes, net</w:t>
            </w:r>
          </w:p>
        </w:tc>
        <w:tc>
          <w:tcPr>
            <w:tcW w:w="4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398,599</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unsecured credit facilities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Repayment of unsecured credit facilities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(620,000)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(425,000)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(240,000)</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notes payable</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6,068</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Repayment of notes payable</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(16,919)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(51,687)</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Scheduled principal payments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(5,024)</w:t>
            </w: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Payment of loan costs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(4,544)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(4,361)</w:t>
            </w:r>
          </w:p>
        </w:tc>
      </w:tr>
      <w:tr>
        <w:trPr>
          <w:trHeight w:val="33"/>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premium on tender offer</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0"/>
        </w:trPr>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ectPr>
          <w:pgSz w:w="11900" w:h="16897" w:orient="portrait"/>
          <w:cols w:equalWidth="0" w:num="1">
            <w:col w:w="11380"/>
          </w:cols>
          <w:pgMar w:left="260" w:top="585" w:right="25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ind w:left="178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(249,891)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(145,569)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(32,797)</w:t>
            </w:r>
          </w:p>
        </w:tc>
      </w:tr>
      <w:tr>
        <w:trPr>
          <w:trHeight w:val="33"/>
        </w:trPr>
        <w:tc>
          <w:tcPr>
            <w:tcW w:w="6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6"/>
                <w:szCs w:val="16"/>
                <w:color w:val="auto"/>
              </w:rPr>
              <w:t>Net increase (decrease) in cash and cash equivalents</w:t>
            </w:r>
          </w:p>
        </w:tc>
        <w:tc>
          <w:tcPr>
            <w:tcW w:w="1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(78,795)</w:t>
            </w: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the year</w:t>
            </w:r>
          </w:p>
        </w:tc>
        <w:tc>
          <w:tcPr>
            <w:tcW w:w="1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11,402</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17,061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95,856</w:t>
            </w:r>
          </w:p>
        </w:tc>
      </w:tr>
      <w:tr>
        <w:trPr>
          <w:trHeight w:val="33"/>
        </w:trPr>
        <w:tc>
          <w:tcPr>
            <w:tcW w:w="6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year</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11,402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17,061</w:t>
            </w:r>
          </w:p>
        </w:tc>
      </w:tr>
      <w:tr>
        <w:trPr>
          <w:trHeight w:val="20"/>
        </w:trPr>
        <w:tc>
          <w:tcPr>
            <w:tcW w:w="6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60" w:top="130" w:right="259" w:bottom="1440" w:gutter="0" w:footer="0" w:header="0"/>
        </w:sectPr>
      </w:pPr>
    </w:p>
    <w:bookmarkStart w:id="82" w:name="page83"/>
    <w:bookmarkEnd w:id="82"/>
    <w:p>
      <w:pPr>
        <w:jc w:val="center"/>
        <w:ind w:right="-539"/>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For the years ended December 31, 2012, 2011, and 2010</w:t>
      </w:r>
    </w:p>
    <w:p>
      <w:pPr>
        <w:spacing w:after="0" w:line="5"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(in thousands)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440" w:type="dxa"/>
            <w:vAlign w:val="bottom"/>
          </w:tcPr>
          <w:p>
            <w:pPr>
              <w:ind w:left="260"/>
              <w:spacing w:after="0"/>
              <w:rPr>
                <w:sz w:val="20"/>
                <w:szCs w:val="20"/>
                <w:color w:val="auto"/>
              </w:rPr>
            </w:pPr>
            <w:r>
              <w:rPr>
                <w:rFonts w:ascii="Arial" w:cs="Arial" w:eastAsia="Arial" w:hAnsi="Arial"/>
                <w:sz w:val="16"/>
                <w:szCs w:val="16"/>
                <w:color w:val="auto"/>
                <w:w w:val="92"/>
              </w:rPr>
              <w:t>Cash paid for interest (net of capitalized interest of $3,686, $1,480, and $5,099 in 2012, 2011,</w:t>
            </w:r>
          </w:p>
        </w:tc>
        <w:tc>
          <w:tcPr>
            <w:tcW w:w="280" w:type="dxa"/>
            <w:vAlign w:val="bottom"/>
          </w:tcPr>
          <w:p>
            <w:pPr>
              <w:spacing w:after="0"/>
              <w:rPr>
                <w:sz w:val="19"/>
                <w:szCs w:val="19"/>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6"/>
                <w:szCs w:val="16"/>
                <w:color w:val="auto"/>
              </w:rPr>
              <w:t>115,879</w:t>
            </w:r>
          </w:p>
        </w:tc>
        <w:tc>
          <w:tcPr>
            <w:tcW w:w="100" w:type="dxa"/>
            <w:vAlign w:val="bottom"/>
          </w:tcPr>
          <w:p>
            <w:pPr>
              <w:spacing w:after="0"/>
              <w:rPr>
                <w:sz w:val="19"/>
                <w:szCs w:val="19"/>
                <w:color w:val="auto"/>
              </w:rPr>
            </w:pPr>
          </w:p>
        </w:tc>
        <w:tc>
          <w:tcPr>
            <w:tcW w:w="1140" w:type="dxa"/>
            <w:vAlign w:val="bottom"/>
            <w:vMerge w:val="restart"/>
          </w:tcPr>
          <w:p>
            <w:pPr>
              <w:jc w:val="right"/>
              <w:ind w:right="40"/>
              <w:spacing w:after="0"/>
              <w:rPr>
                <w:sz w:val="20"/>
                <w:szCs w:val="20"/>
                <w:color w:val="auto"/>
              </w:rPr>
            </w:pPr>
            <w:r>
              <w:rPr>
                <w:rFonts w:ascii="Arial" w:cs="Arial" w:eastAsia="Arial" w:hAnsi="Arial"/>
                <w:sz w:val="16"/>
                <w:szCs w:val="16"/>
                <w:color w:val="auto"/>
              </w:rPr>
              <w:t>128,649</w:t>
            </w:r>
          </w:p>
        </w:tc>
        <w:tc>
          <w:tcPr>
            <w:tcW w:w="100" w:type="dxa"/>
            <w:vAlign w:val="bottom"/>
          </w:tcPr>
          <w:p>
            <w:pPr>
              <w:spacing w:after="0"/>
              <w:rPr>
                <w:sz w:val="19"/>
                <w:szCs w:val="19"/>
                <w:color w:val="auto"/>
              </w:rPr>
            </w:pPr>
          </w:p>
        </w:tc>
        <w:tc>
          <w:tcPr>
            <w:tcW w:w="1120" w:type="dxa"/>
            <w:vAlign w:val="bottom"/>
            <w:vMerge w:val="restart"/>
          </w:tcPr>
          <w:p>
            <w:pPr>
              <w:jc w:val="right"/>
              <w:ind w:right="20"/>
              <w:spacing w:after="0"/>
              <w:rPr>
                <w:sz w:val="20"/>
                <w:szCs w:val="20"/>
                <w:color w:val="auto"/>
              </w:rPr>
            </w:pPr>
            <w:r>
              <w:rPr>
                <w:rFonts w:ascii="Arial" w:cs="Arial" w:eastAsia="Arial" w:hAnsi="Arial"/>
                <w:sz w:val="16"/>
                <w:szCs w:val="16"/>
                <w:color w:val="auto"/>
              </w:rPr>
              <w:t>127,591</w:t>
            </w:r>
          </w:p>
        </w:tc>
        <w:tc>
          <w:tcPr>
            <w:tcW w:w="0" w:type="dxa"/>
            <w:vAlign w:val="bottom"/>
          </w:tcPr>
          <w:p>
            <w:pPr>
              <w:spacing w:after="0"/>
              <w:rPr>
                <w:sz w:val="1"/>
                <w:szCs w:val="1"/>
                <w:color w:val="auto"/>
              </w:rPr>
            </w:pPr>
          </w:p>
        </w:tc>
      </w:tr>
      <w:tr>
        <w:trPr>
          <w:trHeight w:val="259"/>
        </w:trPr>
        <w:tc>
          <w:tcPr>
            <w:tcW w:w="6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and 2010, respectively)</w:t>
            </w:r>
          </w:p>
        </w:tc>
        <w:tc>
          <w:tcPr>
            <w:tcW w:w="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transactions: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6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Common stock issued by Parent Company for partnership units exchanged</w:t>
            </w:r>
          </w:p>
        </w:tc>
        <w:tc>
          <w:tcPr>
            <w:tcW w:w="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7,630</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Real estate received through distribution in kind</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47,512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6"/>
                <w:szCs w:val="16"/>
                <w:color w:val="auto"/>
              </w:rPr>
              <w:t>Mortgage loans assumed through distribution in kind</w:t>
            </w: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40" w:type="dxa"/>
            <w:vAlign w:val="bottom"/>
            <w:vMerge w:val="continue"/>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28,760</w:t>
            </w:r>
          </w:p>
        </w:tc>
        <w:tc>
          <w:tcPr>
            <w:tcW w:w="10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Mortgage loans assumed for the acquisition of real estate</w:t>
            </w:r>
          </w:p>
        </w:tc>
        <w:tc>
          <w:tcPr>
            <w:tcW w:w="28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58,981</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6"/>
                <w:szCs w:val="16"/>
                <w:color w:val="auto"/>
              </w:rPr>
              <w:t>Real estate contributed for investments in real estate partnerships</w:t>
            </w: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4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47,500</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 estate received through foreclosure on notes receivable</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12,585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6"/>
                <w:szCs w:val="16"/>
                <w:color w:val="auto"/>
              </w:rPr>
              <w:t>Change in fair value of derivative instruments</w:t>
            </w: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4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28,363</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Common stock issued by Parent Company for dividend reinvestment plan</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6"/>
                <w:szCs w:val="16"/>
                <w:color w:val="auto"/>
              </w:rPr>
              <w:t>Stock-based compensation capitalized</w:t>
            </w: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4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1,979</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from limited partners in consolidated partnerships, net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6"/>
                <w:szCs w:val="16"/>
                <w:color w:val="auto"/>
              </w:rPr>
              <w:t>Common stock issued for dividend reinvestment in trust</w:t>
            </w: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4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 of stock awards into trust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6"/>
                <w:szCs w:val="16"/>
                <w:color w:val="auto"/>
              </w:rPr>
              <w:t>Distribution of stock held in trust</w:t>
            </w: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vMerge w:val="continue"/>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80"/>
          </w:cols>
          <w:pgMar w:left="240" w:top="801" w:right="779" w:bottom="1440" w:gutter="0" w:footer="0" w:header="0"/>
        </w:sectPr>
      </w:pPr>
    </w:p>
    <w:bookmarkStart w:id="83" w:name="page84"/>
    <w:bookmarkEnd w:id="83"/>
    <w:p>
      <w:pPr>
        <w:jc w:val="center"/>
        <w:ind w:left="280" w:right="27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394"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ind w:left="1292" w:right="7080" w:hanging="644"/>
        <w:spacing w:after="0" w:line="438" w:lineRule="auto"/>
        <w:tabs>
          <w:tab w:leader="none" w:pos="10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Organization and Principles of Consolidation </w:t>
      </w:r>
      <w:r>
        <w:rPr>
          <w:rFonts w:ascii="Arial" w:cs="Arial" w:eastAsia="Arial" w:hAnsi="Arial"/>
          <w:sz w:val="18"/>
          <w:szCs w:val="18"/>
          <w:u w:val="single" w:color="auto"/>
          <w:color w:val="auto"/>
        </w:rPr>
        <w:t>General</w:t>
      </w:r>
    </w:p>
    <w:p>
      <w:pPr>
        <w:spacing w:after="0" w:line="1" w:lineRule="exact"/>
        <w:rPr>
          <w:sz w:val="20"/>
          <w:szCs w:val="20"/>
          <w:color w:val="auto"/>
        </w:rPr>
      </w:pPr>
    </w:p>
    <w:p>
      <w:pPr>
        <w:ind w:left="1292" w:right="20"/>
        <w:spacing w:after="0" w:line="271" w:lineRule="auto"/>
        <w:rPr>
          <w:sz w:val="20"/>
          <w:szCs w:val="20"/>
          <w:color w:val="auto"/>
        </w:rPr>
      </w:pPr>
      <w:r>
        <w:rPr>
          <w:rFonts w:ascii="Arial" w:cs="Arial" w:eastAsia="Arial" w:hAnsi="Arial"/>
          <w:sz w:val="17"/>
          <w:szCs w:val="17"/>
          <w:color w:val="auto"/>
        </w:rPr>
        <w:t>Regency Centers Corporation (the “Parent Company”) began its operations as a Real Estate Investment Trust (“REIT”) in 1993 and is the general partner of Regency Centers, L.P. (the “Operating Partnership”). At December 31, 2012, the Parent Company owned approximately 99.8% of the outstanding common Partnership Units of the Operating Partnership. The Parent Company engages in the ownership, management, leasing, acquisition, and development of retail shopping centers through the Operating Partnership, and has no other assets or liabilities other than through its investment in the Operating Partnership. At December 31, 2012, the Parent Company, the Operating Partnership and their controlled subsidiaries on a consolidated basis (the "Company” or “Regency”) directly owned 204 retail shopping centers and held partial interests in an additional 144 retail shopping centers through investments in real estate partnerships (also referred to as joint ventures or co-investment partnerships).</w:t>
      </w:r>
    </w:p>
    <w:p>
      <w:pPr>
        <w:spacing w:after="0" w:line="125"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Estimates, Risks, and Uncertainties</w:t>
      </w:r>
    </w:p>
    <w:p>
      <w:pPr>
        <w:spacing w:after="0" w:line="171" w:lineRule="exact"/>
        <w:rPr>
          <w:sz w:val="20"/>
          <w:szCs w:val="20"/>
          <w:color w:val="auto"/>
        </w:rPr>
      </w:pPr>
    </w:p>
    <w:p>
      <w:pPr>
        <w:ind w:left="1292"/>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Generally Accepted Accounting Principles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most significant estimates in the Company's financial statements relate to the carrying values of its investments in real estate including its shopping centers, properties in development and its investments in real estate partnerships, and accounts receivable, net. Although the U.S. economy is recovering, economic conditions remain challenging, and therefore, it is possible that the estimates and assumptions that have been utilized in the preparation of the consolidated financial statements could change significantly, if economic conditions were to weaken.</w:t>
      </w:r>
    </w:p>
    <w:p>
      <w:pPr>
        <w:spacing w:after="0" w:line="125"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Consolidation</w:t>
      </w:r>
    </w:p>
    <w:p>
      <w:pPr>
        <w:spacing w:after="0" w:line="171" w:lineRule="exact"/>
        <w:rPr>
          <w:sz w:val="20"/>
          <w:szCs w:val="20"/>
          <w:color w:val="auto"/>
        </w:rPr>
      </w:pPr>
    </w:p>
    <w:p>
      <w:pPr>
        <w:ind w:left="1292" w:right="14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Company, the Operating Partnership, its wholly-owned subsidiaries, and consolidated partnerships in which the Company has a controlling interest. Investments in real estate partnerships not controlled by the Company are accounted for under the equity method. All significant inter-company balances and transactions are eliminated in the consolidated financial statements.</w:t>
      </w:r>
    </w:p>
    <w:p>
      <w:pPr>
        <w:spacing w:after="0" w:line="133" w:lineRule="exact"/>
        <w:rPr>
          <w:sz w:val="20"/>
          <w:szCs w:val="20"/>
          <w:color w:val="auto"/>
        </w:rPr>
      </w:pPr>
    </w:p>
    <w:p>
      <w:pPr>
        <w:ind w:left="1292"/>
        <w:spacing w:after="0"/>
        <w:rPr>
          <w:sz w:val="20"/>
          <w:szCs w:val="20"/>
          <w:color w:val="auto"/>
        </w:rPr>
      </w:pPr>
      <w:r>
        <w:rPr>
          <w:rFonts w:ascii="Arial" w:cs="Arial" w:eastAsia="Arial" w:hAnsi="Arial"/>
          <w:sz w:val="18"/>
          <w:szCs w:val="18"/>
          <w:i w:val="1"/>
          <w:iCs w:val="1"/>
          <w:color w:val="auto"/>
        </w:rPr>
        <w:t>Ownership of the Parent Company</w:t>
      </w:r>
    </w:p>
    <w:p>
      <w:pPr>
        <w:spacing w:after="0" w:line="171" w:lineRule="exact"/>
        <w:rPr>
          <w:sz w:val="20"/>
          <w:szCs w:val="20"/>
          <w:color w:val="auto"/>
        </w:rPr>
      </w:pPr>
    </w:p>
    <w:p>
      <w:pPr>
        <w:jc w:val="both"/>
        <w:ind w:left="1292" w:right="580"/>
        <w:spacing w:after="0" w:line="264" w:lineRule="auto"/>
        <w:rPr>
          <w:sz w:val="20"/>
          <w:szCs w:val="20"/>
          <w:color w:val="auto"/>
        </w:rPr>
      </w:pPr>
      <w:r>
        <w:rPr>
          <w:rFonts w:ascii="Arial" w:cs="Arial" w:eastAsia="Arial" w:hAnsi="Arial"/>
          <w:sz w:val="18"/>
          <w:szCs w:val="18"/>
          <w:color w:val="auto"/>
        </w:rPr>
        <w:t>The Parent Company has a single class of common stock outstanding and two series of preferred stock outstanding (“Series 6 and 7 Preferred Stock”). The dividends on the Series 6 and 7 Preferred Stock are cumulative and payable in arrears on the last day of each calendar quarter.</w:t>
      </w:r>
    </w:p>
    <w:p>
      <w:pPr>
        <w:spacing w:after="0" w:line="289" w:lineRule="exact"/>
        <w:rPr>
          <w:sz w:val="20"/>
          <w:szCs w:val="20"/>
          <w:color w:val="auto"/>
        </w:rPr>
      </w:pPr>
    </w:p>
    <w:p>
      <w:pPr>
        <w:ind w:left="1292"/>
        <w:spacing w:after="0"/>
        <w:rPr>
          <w:sz w:val="20"/>
          <w:szCs w:val="20"/>
          <w:color w:val="auto"/>
        </w:rPr>
      </w:pPr>
      <w:r>
        <w:rPr>
          <w:rFonts w:ascii="Arial" w:cs="Arial" w:eastAsia="Arial" w:hAnsi="Arial"/>
          <w:sz w:val="18"/>
          <w:szCs w:val="18"/>
          <w:i w:val="1"/>
          <w:iCs w:val="1"/>
          <w:color w:val="auto"/>
        </w:rPr>
        <w:t>Ownership of the Operating Partnership</w:t>
      </w:r>
    </w:p>
    <w:p>
      <w:pPr>
        <w:spacing w:after="0" w:line="171" w:lineRule="exact"/>
        <w:rPr>
          <w:sz w:val="20"/>
          <w:szCs w:val="20"/>
          <w:color w:val="auto"/>
        </w:rPr>
      </w:pPr>
    </w:p>
    <w:p>
      <w:pPr>
        <w:ind w:left="1292" w:right="160"/>
        <w:spacing w:after="0" w:line="312" w:lineRule="auto"/>
        <w:rPr>
          <w:sz w:val="20"/>
          <w:szCs w:val="20"/>
          <w:color w:val="auto"/>
        </w:rPr>
      </w:pPr>
      <w:r>
        <w:rPr>
          <w:rFonts w:ascii="Arial" w:cs="Arial" w:eastAsia="Arial" w:hAnsi="Arial"/>
          <w:sz w:val="16"/>
          <w:szCs w:val="16"/>
          <w:color w:val="auto"/>
        </w:rPr>
        <w:t>The Operating Partnership's capital includes general and limited common Partnership Units. At December 31, 2012, the Parent Company owned approximately 99.8% or 90,394,486 of the total 90,571,650 Partnership Units outstanding. Net income and distributions of the Operating Partnership are allocable to the general and limited common Partnership Units in accordance with their ownership percentages.</w:t>
      </w:r>
    </w:p>
    <w:p>
      <w:pPr>
        <w:spacing w:after="0" w:line="93"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Investments in Real Estate Partnerships</w:t>
      </w:r>
    </w:p>
    <w:p>
      <w:pPr>
        <w:spacing w:after="0" w:line="171" w:lineRule="exact"/>
        <w:rPr>
          <w:sz w:val="20"/>
          <w:szCs w:val="20"/>
          <w:color w:val="auto"/>
        </w:rPr>
      </w:pPr>
    </w:p>
    <w:p>
      <w:pPr>
        <w:ind w:left="1292"/>
        <w:spacing w:after="0" w:line="297" w:lineRule="auto"/>
        <w:rPr>
          <w:sz w:val="20"/>
          <w:szCs w:val="20"/>
          <w:color w:val="auto"/>
        </w:rPr>
      </w:pPr>
      <w:r>
        <w:rPr>
          <w:rFonts w:ascii="Arial" w:cs="Arial" w:eastAsia="Arial" w:hAnsi="Arial"/>
          <w:sz w:val="16"/>
          <w:szCs w:val="16"/>
          <w:color w:val="auto"/>
        </w:rPr>
        <w:t>Investments in real estate partnerships not controlled by the Company are accounted for under the equity method. The accounting policies of the real estate partnerships are similar to the Company's accounting policies. Income or loss from these real estate partnerships, which includes all operating results (including impairment losses) and gains on sales of properties within the joint ventures, is allocated to the Company in accordance with the respective partnership agreements. Such allocations of net income or loss are recorded in equity in income (loss) of investments in real estate partnerships in the accompanying Consolidated Statements of Operations. The net difference in the</w:t>
      </w:r>
    </w:p>
    <w:p>
      <w:pPr>
        <w:spacing w:after="0" w:line="18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72"/>
          </w:cols>
          <w:pgMar w:left="248" w:top="364" w:right="279" w:bottom="1440" w:gutter="0" w:footer="0" w:header="0"/>
        </w:sectPr>
      </w:pPr>
    </w:p>
    <w:bookmarkStart w:id="84" w:name="page85"/>
    <w:bookmarkEnd w:id="84"/>
    <w:p>
      <w:pPr>
        <w:jc w:val="center"/>
        <w:ind w:left="100" w:right="13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right="140"/>
        <w:spacing w:after="0" w:line="257" w:lineRule="auto"/>
        <w:rPr>
          <w:sz w:val="20"/>
          <w:szCs w:val="20"/>
          <w:color w:val="auto"/>
        </w:rPr>
      </w:pPr>
      <w:r>
        <w:rPr>
          <w:rFonts w:ascii="Arial" w:cs="Arial" w:eastAsia="Arial" w:hAnsi="Arial"/>
          <w:sz w:val="18"/>
          <w:szCs w:val="18"/>
          <w:color w:val="auto"/>
        </w:rPr>
        <w:t>carrying amount of investments in real estate partnerships and the underlying equity in net assets is either accreted to income and recorded in equity in income (loss) of investments in real estate partnerships in the accompanying Consolidated Statements of Operations over the expected useful lives of the properties and other intangible assets, which range in lives from 10 to 40 years, or recognized at liquidation if the joint venture agreement includes a unilateral right to elect to dissolve the real estate partnership and, upon such an election, receive a distribution in-kind, as discussed further below.</w:t>
      </w:r>
    </w:p>
    <w:p>
      <w:pPr>
        <w:spacing w:after="0" w:line="134" w:lineRule="exact"/>
        <w:rPr>
          <w:sz w:val="20"/>
          <w:szCs w:val="20"/>
          <w:color w:val="auto"/>
        </w:rPr>
      </w:pPr>
    </w:p>
    <w:p>
      <w:pPr>
        <w:ind w:left="100" w:right="200"/>
        <w:spacing w:after="0" w:line="279" w:lineRule="auto"/>
        <w:rPr>
          <w:sz w:val="20"/>
          <w:szCs w:val="20"/>
          <w:color w:val="auto"/>
        </w:rPr>
      </w:pPr>
      <w:r>
        <w:rPr>
          <w:rFonts w:ascii="Arial" w:cs="Arial" w:eastAsia="Arial" w:hAnsi="Arial"/>
          <w:sz w:val="17"/>
          <w:szCs w:val="17"/>
          <w:color w:val="auto"/>
        </w:rPr>
        <w:t>Cash distributions of earnings from operations from investments in real estate partnerships are presented in cash flows provided by operating activities in the accompanying Consolidated Statements of Cash Flows. Cash distributions from the sale of a property or loan proceeds received from the placement of debt on a property included in investments in real estate partnerships are presented in cash flows provided by investing activities in the accompanying Consolidated Statements of Cash Flows.</w:t>
      </w:r>
    </w:p>
    <w:p>
      <w:pPr>
        <w:spacing w:after="0" w:line="117" w:lineRule="exact"/>
        <w:rPr>
          <w:sz w:val="20"/>
          <w:szCs w:val="20"/>
          <w:color w:val="auto"/>
        </w:rPr>
      </w:pPr>
    </w:p>
    <w:p>
      <w:pPr>
        <w:ind w:left="100" w:right="160"/>
        <w:spacing w:after="0" w:line="269" w:lineRule="auto"/>
        <w:rPr>
          <w:sz w:val="20"/>
          <w:szCs w:val="20"/>
          <w:color w:val="auto"/>
        </w:rPr>
      </w:pPr>
      <w:r>
        <w:rPr>
          <w:rFonts w:ascii="Arial" w:cs="Arial" w:eastAsia="Arial" w:hAnsi="Arial"/>
          <w:sz w:val="17"/>
          <w:szCs w:val="17"/>
          <w:color w:val="auto"/>
        </w:rPr>
        <w:t>The Company evaluates the structure and the substance of its investments in the real estate partnerships to determine if they are variable interest entities. The Company has concluded that these partnership investments are not variable interest entities. Further, the joint venture partners in the real estate partnerships have significant ownership rights, including approval over operating budgets and strategic plans, capital spending, sale or financing, and admission of new partners. Upon formation of the joint ventures, the Company, through the Operating Partnership, also became the managing member, responsible for the day-to-day operations of the real estate partnerships. In accordance with the Financial Accounting Standards Board (“FASB”) Accounting Standards Codification (“ASC”) Topic 810, the Company evaluated its investment in each real estate partnership and concluded that the other partners have kick-out rights and/or substantive participating rights and, therefore, the Company has concluded that the equity method of accounting is appropriate for these investments and they do not require consolidation. Under the equity method of accounting, investments in real estate partnerships are initially recorded at cost, subsequently increased for additional contributions and allocations of income, and reduced for distributions received and allocations of loss. These investments are included in the consolidated financial statements as investments in real estate partnerships.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Noncontrolling Interests</w:t>
      </w:r>
    </w:p>
    <w:p>
      <w:pPr>
        <w:spacing w:after="0" w:line="171" w:lineRule="exact"/>
        <w:rPr>
          <w:sz w:val="20"/>
          <w:szCs w:val="20"/>
          <w:color w:val="auto"/>
        </w:rPr>
      </w:pPr>
    </w:p>
    <w:p>
      <w:pPr>
        <w:ind w:left="100" w:right="40"/>
        <w:spacing w:after="0" w:line="291" w:lineRule="auto"/>
        <w:rPr>
          <w:sz w:val="20"/>
          <w:szCs w:val="20"/>
          <w:color w:val="auto"/>
        </w:rPr>
      </w:pPr>
      <w:r>
        <w:rPr>
          <w:rFonts w:ascii="Arial" w:cs="Arial" w:eastAsia="Arial" w:hAnsi="Arial"/>
          <w:sz w:val="16"/>
          <w:szCs w:val="16"/>
          <w:color w:val="auto"/>
        </w:rPr>
        <w:t>The Company consolidates all entities in which it has a controlling ownership interest. A controlling ownership interest is typically attributable to the entity with a majority voting interest. Noncontrolling interest is the portion of equity, in a subsidiary or consolidated entity, not attributable, directly or indirectly to the Company. Such noncontrolling interests are reported on the Consolidated Balance Sheets within equity or capital, but separately from stockholders' equity or partners' capital. On the Consolidated Statements of Operations, all of the revenues and expenses from less-than-wholly-owned consolidated subsidiaries are reported in net income (loss), including both the amounts attributable to the Company and noncontrolling interests. The amounts of consolidated net income (loss) attributable to the Company and to the noncontrolling interests are clearly identified on the accompanying Consolidated Statements of Operations.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Noncontrolling Interests of the Parent Company</w:t>
      </w:r>
    </w:p>
    <w:p>
      <w:pPr>
        <w:spacing w:after="0" w:line="171" w:lineRule="exact"/>
        <w:rPr>
          <w:sz w:val="20"/>
          <w:szCs w:val="20"/>
          <w:color w:val="auto"/>
        </w:rPr>
      </w:pPr>
    </w:p>
    <w:p>
      <w:pPr>
        <w:ind w:left="100" w:right="160"/>
        <w:spacing w:after="0" w:line="290" w:lineRule="auto"/>
        <w:rPr>
          <w:sz w:val="20"/>
          <w:szCs w:val="20"/>
          <w:color w:val="auto"/>
        </w:rPr>
      </w:pPr>
      <w:r>
        <w:rPr>
          <w:rFonts w:ascii="Arial" w:cs="Arial" w:eastAsia="Arial" w:hAnsi="Arial"/>
          <w:sz w:val="16"/>
          <w:szCs w:val="16"/>
          <w:color w:val="auto"/>
        </w:rPr>
        <w:t>The consolidated financial statements of the Parent Company include the following ownership interests held by owners other than the preferred and common stockholders of the Parent Company: (i) the limited Partnership Units in the Operating Partnership held by third parties (“Exchangeable operating partnership units”) and (ii) the minority-owned interest held by third parties in consolidated partnerships (“Limited partners' interests in consolidated partnerships”). The Parent Company has included all of these noncontrolling interests in permanent equity, separate from the Parent Company's stockholders' equity, in the accompanying Consolidated Balance Sheets and Consolidated Statements of Equity and Comprehensive Income (Loss). The portion of net income (loss) or comprehensive income (loss) attributable to these noncontrolling interests is included in net income (loss) and comprehensive income (loss) in the accompanying Consolidated Statements of Operations and Consolidated Statements of Comprehensive Income (Loss) of the Parent Company.</w:t>
      </w:r>
    </w:p>
    <w:p>
      <w:pPr>
        <w:spacing w:after="0" w:line="112" w:lineRule="exact"/>
        <w:rPr>
          <w:sz w:val="20"/>
          <w:szCs w:val="20"/>
          <w:color w:val="auto"/>
        </w:rPr>
      </w:pPr>
    </w:p>
    <w:p>
      <w:pPr>
        <w:ind w:left="100"/>
        <w:spacing w:after="0" w:line="257" w:lineRule="auto"/>
        <w:rPr>
          <w:sz w:val="20"/>
          <w:szCs w:val="20"/>
          <w:color w:val="auto"/>
        </w:rPr>
      </w:pPr>
      <w:r>
        <w:rPr>
          <w:rFonts w:ascii="Arial" w:cs="Arial" w:eastAsia="Arial" w:hAnsi="Arial"/>
          <w:sz w:val="18"/>
          <w:szCs w:val="18"/>
          <w:color w:val="auto"/>
        </w:rPr>
        <w:t>In accordance with the FASB ASC Topic 480, securities that are redeemable for cash or other assets at the option of the holder, not solely within the control of the issuer, are classified as redeemable noncontrolling interests outside of permanent equity in the Consolidated Balance Sheets. The Parent Company has evaluated the conditions as specified under the FASB ASC Topic 480 as it relates to exchangeable operating partnership units outstanding and concluded that it has the right to satisfy the redemption requirements of the units by delivering unregistered common stock. Each</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20"/>
          </w:cols>
          <w:pgMar w:left="1440" w:top="121" w:right="239" w:bottom="1440" w:gutter="0" w:footer="0" w:header="0"/>
        </w:sectPr>
      </w:pPr>
    </w:p>
    <w:bookmarkStart w:id="85" w:name="page86"/>
    <w:bookmarkEnd w:id="85"/>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20"/>
        <w:spacing w:after="0" w:line="273" w:lineRule="auto"/>
        <w:rPr>
          <w:sz w:val="20"/>
          <w:szCs w:val="20"/>
          <w:color w:val="auto"/>
        </w:rPr>
      </w:pPr>
      <w:r>
        <w:rPr>
          <w:rFonts w:ascii="Arial" w:cs="Arial" w:eastAsia="Arial" w:hAnsi="Arial"/>
          <w:sz w:val="17"/>
          <w:szCs w:val="17"/>
          <w:color w:val="auto"/>
        </w:rPr>
        <w:t>outstanding exchangeable operating partnership unit is exchangeable for one share of common stock of the Parent Company, and the unit holder cannot require redemption in cash or other assets. Limited partners' interests in consolidated partnerships are not redeemable by the holders. The Parent Company also evaluated its fiduciary duties to itself, its shareholders, and, as the managing general partner of the Operating Partnership, to the Operating Partnership, and concluded its fiduciary duties are not in conflict with each other or the underlying agreements. Therefore, the Parent Company classifies such units and interests as permanent equity in the accompanying Consolidated Balance Sheets and Consolidated Statements of Equity and Comprehensive Income (Loss).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Noncontrolling Interests of the Operating Partnership</w:t>
      </w:r>
    </w:p>
    <w:p>
      <w:pPr>
        <w:spacing w:after="0" w:line="171"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color w:val="auto"/>
        </w:rPr>
        <w:t>The Operating Partnership has determined that Limited partners' interests in consolidated partnerships are noncontrolling interests. The Operating Partnership has included these noncontrolling interests in permanent capital, separate from partners' capital, in the accompanying Consolidated Balance Sheets and Consolidated Statements of Capital and Comprehensive Income (Loss). The portion of net income (loss) or comprehensive income (loss) attributable to these noncontrolling interests is included in net income (loss) and comprehensive income (loss) in the accompanying Consolidated Statements of Operations and Consolidated Statements Comprehensive Income (Loss) of the Operating Partnership.</w:t>
      </w:r>
    </w:p>
    <w:p>
      <w:pPr>
        <w:spacing w:after="0" w:line="32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Revenues</w:t>
      </w:r>
    </w:p>
    <w:p>
      <w:pPr>
        <w:spacing w:after="0" w:line="185" w:lineRule="exact"/>
        <w:rPr>
          <w:sz w:val="20"/>
          <w:szCs w:val="20"/>
          <w:color w:val="auto"/>
        </w:rPr>
      </w:pPr>
    </w:p>
    <w:p>
      <w:pPr>
        <w:jc w:val="both"/>
        <w:ind w:left="640"/>
        <w:spacing w:after="0" w:line="314" w:lineRule="auto"/>
        <w:rPr>
          <w:sz w:val="20"/>
          <w:szCs w:val="20"/>
          <w:color w:val="auto"/>
        </w:rPr>
      </w:pPr>
      <w:r>
        <w:rPr>
          <w:rFonts w:ascii="Arial" w:cs="Arial" w:eastAsia="Arial" w:hAnsi="Arial"/>
          <w:sz w:val="16"/>
          <w:szCs w:val="16"/>
          <w:color w:val="auto"/>
        </w:rPr>
        <w:t>The Company leases space to tenants under agreements with varying terms. Leases are accounted for as operating leases with minimum rent recognized on a straight-line basis over the term of the lease regardless of when payments are due. The Company estimates the collectibility of the accounts receivable related to base rents, straight-line rents, expense reimbursements, and other revenue taking into consideration the Company's historical write-off experience, tenant credit-worthiness, current economic trends, and remaining lease terms</w:t>
      </w:r>
      <w:r>
        <w:rPr>
          <w:rFonts w:ascii="Arial" w:cs="Arial" w:eastAsia="Arial" w:hAnsi="Arial"/>
          <w:sz w:val="17"/>
          <w:szCs w:val="17"/>
          <w:color w:val="auto"/>
        </w:rPr>
        <w:t>.</w:t>
      </w:r>
    </w:p>
    <w:p>
      <w:pPr>
        <w:spacing w:after="0" w:line="89" w:lineRule="exact"/>
        <w:rPr>
          <w:sz w:val="20"/>
          <w:szCs w:val="20"/>
          <w:color w:val="auto"/>
        </w:rPr>
      </w:pPr>
    </w:p>
    <w:p>
      <w:pPr>
        <w:jc w:val="both"/>
        <w:ind w:left="640" w:right="140"/>
        <w:spacing w:after="0" w:line="312" w:lineRule="auto"/>
        <w:rPr>
          <w:sz w:val="20"/>
          <w:szCs w:val="20"/>
          <w:color w:val="auto"/>
        </w:rPr>
      </w:pPr>
      <w:r>
        <w:rPr>
          <w:rFonts w:ascii="Arial" w:cs="Arial" w:eastAsia="Arial" w:hAnsi="Arial"/>
          <w:sz w:val="16"/>
          <w:szCs w:val="16"/>
          <w:color w:val="auto"/>
        </w:rPr>
        <w:t>During the years ended December 31, 2012, 2011, and 2010, the Company recorded provisions for doubtful accounts of $3.0 million, $3.2 million, and $4.0 million, respectively, of which approximately $151,000 and $56,000 is included in discontinued operations for 2011 and 2010, respectively. There were no provisions for doubtful accounts included in discontinued operations in 2012.</w:t>
      </w:r>
    </w:p>
    <w:p>
      <w:pPr>
        <w:spacing w:after="0" w:line="93"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following table represents the components of accounts receivable, net of allowance for doubtful accounts, as of December 31, 2012 and 2011 in the accompanying Consolidated Balance Sheets (in thousands):</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2011</w:t>
            </w:r>
          </w:p>
        </w:tc>
      </w:tr>
      <w:tr>
        <w:trPr>
          <w:trHeight w:val="33"/>
        </w:trPr>
        <w:tc>
          <w:tcPr>
            <w:tcW w:w="43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receivables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4,654</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CAM and tax reimbursements</w:t>
            </w:r>
          </w:p>
        </w:tc>
        <w:tc>
          <w:tcPr>
            <w:tcW w:w="17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26,355</w:t>
            </w:r>
          </w:p>
        </w:tc>
      </w:tr>
      <w:tr>
        <w:trPr>
          <w:trHeight w:val="27"/>
        </w:trPr>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1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10,166</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1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7"/>
        </w:trPr>
        <w:tc>
          <w:tcPr>
            <w:tcW w:w="43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26,601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37,733</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right="80"/>
        <w:spacing w:after="0" w:line="257" w:lineRule="auto"/>
        <w:rPr>
          <w:sz w:val="20"/>
          <w:szCs w:val="20"/>
          <w:color w:val="auto"/>
        </w:rPr>
      </w:pPr>
      <w:r>
        <w:rPr>
          <w:rFonts w:ascii="Arial" w:cs="Arial" w:eastAsia="Arial" w:hAnsi="Arial"/>
          <w:sz w:val="18"/>
          <w:szCs w:val="18"/>
          <w:color w:val="auto"/>
        </w:rPr>
        <w:t>Substantially all of the lease agreements with anchor tenants contain provisions that provide for additional rents based on tenants' sales volume ("percentage rent"). Percentage rents are recognized when the tenants achieve the specified targets as defined in their lease agreements. Substantially all lease agreements contain provisions for reimbursement of the tenants' share of real estate taxes, insurance and common area maintenance (“CAM”) costs. Recovery of real estate taxes, insurance, and CAM costs are recognized as the respective costs are incurred in accordance with the lease agreements.</w:t>
      </w:r>
    </w:p>
    <w:p>
      <w:pPr>
        <w:spacing w:after="0" w:line="134" w:lineRule="exact"/>
        <w:rPr>
          <w:sz w:val="20"/>
          <w:szCs w:val="20"/>
          <w:color w:val="auto"/>
        </w:rPr>
      </w:pPr>
    </w:p>
    <w:p>
      <w:pPr>
        <w:ind w:left="640" w:right="220"/>
        <w:spacing w:after="0" w:line="293" w:lineRule="auto"/>
        <w:rPr>
          <w:sz w:val="20"/>
          <w:szCs w:val="20"/>
          <w:color w:val="auto"/>
        </w:rPr>
      </w:pPr>
      <w:r>
        <w:rPr>
          <w:rFonts w:ascii="Arial" w:cs="Arial" w:eastAsia="Arial" w:hAnsi="Arial"/>
          <w:sz w:val="16"/>
          <w:szCs w:val="16"/>
          <w:color w:val="auto"/>
        </w:rPr>
        <w:t>As part of the leasing process, the Company may provide the lessee with an allowance for the construction of leasehold improvements. These leasehold improvements are capitalized and recorded as tenant improvements, and depreciated over the shorter of the useful life of the improvements or the remaining lease term. If the allowance represents a payment for a purpose other than funding leasehold improvements, or in the event the Company is not considered the owner of the improvements, the allowance is considered to be a lease incentive and is recognized over the lease term as a reduction of minimum rent. Factors considered during this evaluation include, among other things, who holds legal title to the improvements as well as other controlling rights provided by the lease agreement and</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760"/>
          </w:cols>
          <w:pgMar w:left="900" w:top="121" w:right="239" w:bottom="1440" w:gutter="0" w:footer="0" w:header="0"/>
        </w:sectPr>
      </w:pPr>
    </w:p>
    <w:bookmarkStart w:id="86" w:name="page87"/>
    <w:bookmarkEnd w:id="86"/>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provisions for substantiation of such costs (e.g. unilateral control of the tenant space during the build-out process). Determination of the appropriate accounting for the payment of a tenant allowance is made on a lease-by-lease basis, considering the facts and circumstances of the individual tenant lease. When the Company is the owner of the leasehold improvements, recognition of lease revenue commences when the lessee is given possession of the leased space upon completion of tenant improvements. However, when the leasehold improvements are owned by the tenant, the lease inception date is the date the tenant obtains possession of the leased space for purposes of constructing its leasehold improvements.</w:t>
      </w:r>
    </w:p>
    <w:p>
      <w:pPr>
        <w:spacing w:after="0" w:line="139" w:lineRule="exact"/>
        <w:rPr>
          <w:sz w:val="20"/>
          <w:szCs w:val="20"/>
          <w:color w:val="auto"/>
        </w:rPr>
      </w:pPr>
    </w:p>
    <w:p>
      <w:pPr>
        <w:ind w:left="640" w:right="20"/>
        <w:spacing w:after="0" w:line="279" w:lineRule="auto"/>
        <w:rPr>
          <w:sz w:val="20"/>
          <w:szCs w:val="20"/>
          <w:color w:val="auto"/>
        </w:rPr>
      </w:pPr>
      <w:r>
        <w:rPr>
          <w:rFonts w:ascii="Arial" w:cs="Arial" w:eastAsia="Arial" w:hAnsi="Arial"/>
          <w:sz w:val="17"/>
          <w:szCs w:val="17"/>
          <w:color w:val="auto"/>
        </w:rPr>
        <w:t>Profits from sales of real estate are recognized under the full accrual method by the Company when: (i) a sale is consummated; (ii) the buyer's initial and continuing investment is adequate to demonstrate a commitment to pay for the property; (iii) the Company's receivable, if applicable, is not subject to future subordination; (iv) the Company has transferred to the buyer the usual risks and rewards of ownership; and (v) the Company does not have substantial continuing involvement with the property.</w:t>
      </w:r>
    </w:p>
    <w:p>
      <w:pPr>
        <w:spacing w:after="0" w:line="117" w:lineRule="exact"/>
        <w:rPr>
          <w:sz w:val="20"/>
          <w:szCs w:val="20"/>
          <w:color w:val="auto"/>
        </w:rPr>
      </w:pPr>
    </w:p>
    <w:p>
      <w:pPr>
        <w:ind w:left="640" w:right="40"/>
        <w:spacing w:after="0" w:line="297" w:lineRule="auto"/>
        <w:rPr>
          <w:sz w:val="20"/>
          <w:szCs w:val="20"/>
          <w:color w:val="auto"/>
        </w:rPr>
      </w:pPr>
      <w:r>
        <w:rPr>
          <w:rFonts w:ascii="Arial" w:cs="Arial" w:eastAsia="Arial" w:hAnsi="Arial"/>
          <w:sz w:val="16"/>
          <w:szCs w:val="16"/>
          <w:color w:val="auto"/>
        </w:rPr>
        <w:t>The Company sells shopping centers to joint ventures in exchange for cash equal to the fair value of the ownership interest of its partners. The Company accounts for those sales as “partial sales” and recognizes gains on those partial sales in the period the properties were sold to the extent of the percentage interest sold, and in the case of certain real estate partnerships, applies a more restrictive method of recognizing gains, as discussed further below. The gains and operations associated with properties sold to these real estate partnerships are not classified as discontinued operations because the Company continues to partially own and manage these shopping centers.</w:t>
      </w:r>
    </w:p>
    <w:p>
      <w:pPr>
        <w:spacing w:after="0" w:line="104" w:lineRule="exact"/>
        <w:rPr>
          <w:sz w:val="20"/>
          <w:szCs w:val="20"/>
          <w:color w:val="auto"/>
        </w:rPr>
      </w:pPr>
    </w:p>
    <w:p>
      <w:pPr>
        <w:ind w:left="640" w:right="40"/>
        <w:spacing w:after="0" w:line="287" w:lineRule="auto"/>
        <w:rPr>
          <w:sz w:val="20"/>
          <w:szCs w:val="20"/>
          <w:color w:val="auto"/>
        </w:rPr>
      </w:pPr>
      <w:r>
        <w:rPr>
          <w:rFonts w:ascii="Arial" w:cs="Arial" w:eastAsia="Arial" w:hAnsi="Arial"/>
          <w:sz w:val="16"/>
          <w:szCs w:val="16"/>
          <w:color w:val="auto"/>
        </w:rPr>
        <w:t>As of December 31, 2012, six of the Company's joint ventures (“DIK-JV”) give each partner the unilateral right to elect to dissolve the real estate partnership and, upon such an election, receive a distribution in-kind (“DIK”) of the assets of the real estate partnership equal to their respective capital account, which could include properties the Company previously sold to the real estate partnership. The liquidation provisions require that all of the properties owned by the real estate partnership be appraised to determine their respective fair values. As a general rule, if the Company initiates the liquidation process, its partner has the right to choose the first property that it will receive with the Company choosing the next property that it will receive in liquidation. If the Company's partner initiates the liquidation process, the order of the selection process is reversed. The process then continues with an alternating selection of properties by each partner until the balance of each partner's capital account, on a fair value basis, has been distributed. After the final selection, to the extent that the fair value of properties in the DIK-JV are not distributable in a manner that equals the balance of each partner's capital account, a cash payment would be made to the other partner by the partner receiving a property distribution in excess of its capital account. The partners may also elect to liquidate some or all of the properties through sales rather than through the DIK process.</w:t>
      </w:r>
    </w:p>
    <w:p>
      <w:pPr>
        <w:spacing w:after="0" w:line="119" w:lineRule="exact"/>
        <w:rPr>
          <w:sz w:val="20"/>
          <w:szCs w:val="20"/>
          <w:color w:val="auto"/>
        </w:rPr>
      </w:pPr>
    </w:p>
    <w:p>
      <w:pPr>
        <w:ind w:left="640" w:right="160"/>
        <w:spacing w:after="0" w:line="259" w:lineRule="auto"/>
        <w:rPr>
          <w:sz w:val="20"/>
          <w:szCs w:val="20"/>
          <w:color w:val="auto"/>
        </w:rPr>
      </w:pPr>
      <w:r>
        <w:rPr>
          <w:rFonts w:ascii="Arial" w:cs="Arial" w:eastAsia="Arial" w:hAnsi="Arial"/>
          <w:sz w:val="18"/>
          <w:szCs w:val="18"/>
          <w:color w:val="auto"/>
        </w:rPr>
        <w:t>Because the contingency associated with the possibility of receiving a particular property back upon liquidation is not satisfied at the property level, but at the aggregate level, no deferred gain is recognized on property sold by the DIK-JV to a third party or received by the Company upon actual dissolution. Instead, the property received upon dissolution is recorded at the carrying value of the Company's investment in the DIK-JV on the date of dissolution.</w:t>
      </w:r>
    </w:p>
    <w:p>
      <w:pPr>
        <w:spacing w:after="0" w:line="187" w:lineRule="exact"/>
        <w:rPr>
          <w:sz w:val="20"/>
          <w:szCs w:val="20"/>
          <w:color w:val="auto"/>
        </w:rPr>
      </w:pPr>
    </w:p>
    <w:p>
      <w:pPr>
        <w:ind w:left="640" w:right="140"/>
        <w:spacing w:after="0" w:line="297" w:lineRule="auto"/>
        <w:rPr>
          <w:sz w:val="20"/>
          <w:szCs w:val="20"/>
          <w:color w:val="auto"/>
        </w:rPr>
      </w:pPr>
      <w:r>
        <w:rPr>
          <w:rFonts w:ascii="Arial" w:cs="Arial" w:eastAsia="Arial" w:hAnsi="Arial"/>
          <w:sz w:val="16"/>
          <w:szCs w:val="16"/>
          <w:color w:val="auto"/>
        </w:rPr>
        <w:t>The Company is engaged under agreements with its joint venture partners to provide asset management, property management, leasing, investing, and financing services for such joint ventures' shopping centers. The fees are market-based, generally calculated as a percentage of either revenues earned or the estimated values of the properties managed or the proceeds received, and are recognized as services are rendered, when fees due are determinable, and collectibility is reasonably assured. The Company also receives transaction fees, as contractually agreed upon with a joint venture, which include fees such as acquisition fees, disposition fees, “promotes”, or “earnouts”.</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5"/>
          <w:szCs w:val="15"/>
          <w:color w:val="auto"/>
        </w:rPr>
        <w:t>Real Estate Investments</w:t>
      </w:r>
    </w:p>
    <w:p>
      <w:pPr>
        <w:spacing w:after="0" w:line="225"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Land, buildings, and improvements are recorded at cost. All specifically identifiable costs related to development activities are capitalized into properties in development on the accompanying Consolidated Balance Sheets. Properties in development are defined as properties that are in the construction or initial lease-up phase and have not reached their initial full occupancy. Once a development property is substantially complete and held available for occupancy, costs are no longer capitalized. The capitalized costs include pre-development costs essential to the development of the property, development costs, construction costs, interest costs, real estate taxes, and allocated direct employee costs incurred during the period of development. Interest costs are capitalized into each development</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60"/>
          </w:cols>
          <w:pgMar w:left="900" w:top="121" w:right="239" w:bottom="1440" w:gutter="0" w:footer="0" w:header="0"/>
        </w:sectPr>
      </w:pPr>
    </w:p>
    <w:bookmarkStart w:id="87" w:name="page88"/>
    <w:bookmarkEnd w:id="87"/>
    <w:p>
      <w:pPr>
        <w:jc w:val="center"/>
        <w:ind w:left="100" w:right="13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right="60"/>
        <w:spacing w:after="0" w:line="259" w:lineRule="auto"/>
        <w:rPr>
          <w:sz w:val="20"/>
          <w:szCs w:val="20"/>
          <w:color w:val="auto"/>
        </w:rPr>
      </w:pPr>
      <w:r>
        <w:rPr>
          <w:rFonts w:ascii="Arial" w:cs="Arial" w:eastAsia="Arial" w:hAnsi="Arial"/>
          <w:sz w:val="18"/>
          <w:szCs w:val="18"/>
          <w:color w:val="auto"/>
        </w:rPr>
        <w:t>project based upon applying the Company's weighted average borrowing rate to that portion of the actual development costs expended. The Company discontinues interest cost capitalization when the property is no longer being developed or is available for occupancy upon substantial completion of tenant improvements, but in no event would the Company capitalize interest on the project beyond 12 months after substantial completion of the building shell.</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represents the components of properties in development as of December 31, 2012 and 2011 in the accompanying</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Consolidated Balance Sheets (in thousands):</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438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2011</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133,153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Construction complete and in lease-up</w:t>
            </w:r>
          </w:p>
        </w:tc>
        <w:tc>
          <w:tcPr>
            <w:tcW w:w="17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76,301</w:t>
            </w:r>
          </w:p>
        </w:tc>
      </w:tr>
      <w:tr>
        <w:trPr>
          <w:trHeight w:val="27"/>
        </w:trPr>
        <w:tc>
          <w:tcPr>
            <w:tcW w:w="4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held for future development</w:t>
            </w:r>
          </w:p>
        </w:tc>
        <w:tc>
          <w:tcPr>
            <w:tcW w:w="1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96,873</w:t>
            </w:r>
          </w:p>
        </w:tc>
      </w:tr>
      <w:tr>
        <w:trPr>
          <w:trHeight w:val="257"/>
        </w:trPr>
        <w:tc>
          <w:tcPr>
            <w:tcW w:w="4380" w:type="dxa"/>
            <w:vAlign w:val="bottom"/>
          </w:tcPr>
          <w:p>
            <w:pPr>
              <w:ind w:left="48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192,067</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224,077</w:t>
            </w:r>
          </w:p>
        </w:tc>
      </w:tr>
      <w:tr>
        <w:trPr>
          <w:trHeight w:val="20"/>
        </w:trPr>
        <w:tc>
          <w:tcPr>
            <w:tcW w:w="4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0"/>
        <w:spacing w:after="0" w:line="297" w:lineRule="auto"/>
        <w:rPr>
          <w:sz w:val="20"/>
          <w:szCs w:val="20"/>
          <w:color w:val="auto"/>
        </w:rPr>
      </w:pPr>
      <w:r>
        <w:rPr>
          <w:rFonts w:ascii="Arial" w:cs="Arial" w:eastAsia="Arial" w:hAnsi="Arial"/>
          <w:sz w:val="16"/>
          <w:szCs w:val="16"/>
          <w:color w:val="auto"/>
        </w:rPr>
        <w:t>Construction in process represents developments where the Company has not yet incurred at least 90% of the expected costs to complete and the anchor tenant has not yet been open for at least two calendar years. Construction complete and in lease-up represents developments where the Company has incurred at least 90% of the estimated costs to complete and the anchor tenant has not yet been open for at least two calendar years, but is still completing lease-up and final tenant build out. Land held for future development represents projects not in construction, but identified and available for future development if and when the market demand for a new shopping center exists.</w:t>
      </w:r>
    </w:p>
    <w:p>
      <w:pPr>
        <w:spacing w:after="0" w:line="104" w:lineRule="exact"/>
        <w:rPr>
          <w:sz w:val="20"/>
          <w:szCs w:val="20"/>
          <w:color w:val="auto"/>
        </w:rPr>
      </w:pPr>
    </w:p>
    <w:p>
      <w:pPr>
        <w:ind w:left="100"/>
        <w:spacing w:after="0" w:line="290" w:lineRule="auto"/>
        <w:rPr>
          <w:sz w:val="20"/>
          <w:szCs w:val="20"/>
          <w:color w:val="auto"/>
        </w:rPr>
      </w:pPr>
      <w:r>
        <w:rPr>
          <w:rFonts w:ascii="Arial" w:cs="Arial" w:eastAsia="Arial" w:hAnsi="Arial"/>
          <w:sz w:val="16"/>
          <w:szCs w:val="16"/>
          <w:color w:val="auto"/>
        </w:rPr>
        <w:t>The Company incurs costs prior to land acquisition including contract deposits, as well as legal, engineering, and other external professional fees related to evaluating the feasibility of developing a shopping center. These pre-development costs are included in properties in development in the accompanying Consolidated Balance Sheets. At December 31, 2012 and 2011, the Company had capitalized pre-development costs of $3.5 million and $2.1 million, respectively, of which $2.3 million and $1.0 million, respectively, were refundable deposits. If the Company determines that the development of a particular shopping center is no longer probable, any related pre-development costs previously capitalized are immediately expensed in other expenses in the accompanying Consolidated Statements of Operations. During the years ended December 31, 2012, 2011, and 2010, the Company expensed pre-development costs of approximately $1.5 million, $241,000, and $520,000, respectively, in other expenses in the accompanying Consolidated Statements of Operations.</w:t>
      </w:r>
    </w:p>
    <w:p>
      <w:pPr>
        <w:spacing w:after="0" w:line="112" w:lineRule="exact"/>
        <w:rPr>
          <w:sz w:val="20"/>
          <w:szCs w:val="20"/>
          <w:color w:val="auto"/>
        </w:rPr>
      </w:pPr>
    </w:p>
    <w:p>
      <w:pPr>
        <w:ind w:left="100" w:right="220"/>
        <w:spacing w:after="0" w:line="277" w:lineRule="auto"/>
        <w:rPr>
          <w:sz w:val="20"/>
          <w:szCs w:val="20"/>
          <w:color w:val="auto"/>
        </w:rPr>
      </w:pPr>
      <w:r>
        <w:rPr>
          <w:rFonts w:ascii="Arial" w:cs="Arial" w:eastAsia="Arial" w:hAnsi="Arial"/>
          <w:sz w:val="18"/>
          <w:szCs w:val="18"/>
          <w:color w:val="auto"/>
        </w:rPr>
        <w:t>Maintenance and repairs that do not improve or extend the useful lives of the respective assets are recorded in operating and maintenance expense.</w:t>
      </w:r>
    </w:p>
    <w:p>
      <w:pPr>
        <w:spacing w:after="0" w:line="116" w:lineRule="exact"/>
        <w:rPr>
          <w:sz w:val="20"/>
          <w:szCs w:val="20"/>
          <w:color w:val="auto"/>
        </w:rPr>
      </w:pPr>
    </w:p>
    <w:p>
      <w:pPr>
        <w:ind w:left="100" w:right="340"/>
        <w:spacing w:after="0" w:line="264" w:lineRule="auto"/>
        <w:rPr>
          <w:sz w:val="20"/>
          <w:szCs w:val="20"/>
          <w:color w:val="auto"/>
        </w:rPr>
      </w:pPr>
      <w:r>
        <w:rPr>
          <w:rFonts w:ascii="Arial" w:cs="Arial" w:eastAsia="Arial" w:hAnsi="Arial"/>
          <w:sz w:val="18"/>
          <w:szCs w:val="18"/>
          <w:color w:val="auto"/>
        </w:rPr>
        <w:t>Depreciation is computed using the straight-line method over estimated useful lives of approximately 40 years for buildings and improvements, the shorter of the useful life or the remaining lease term subject to a maximum of 10 years for tenant improvements, and three to seven years for furniture and equipment.</w:t>
      </w:r>
    </w:p>
    <w:p>
      <w:pPr>
        <w:spacing w:after="0" w:line="127" w:lineRule="exact"/>
        <w:rPr>
          <w:sz w:val="20"/>
          <w:szCs w:val="20"/>
          <w:color w:val="auto"/>
        </w:rPr>
      </w:pPr>
    </w:p>
    <w:p>
      <w:pPr>
        <w:ind w:left="100" w:right="240"/>
        <w:spacing w:after="0" w:line="312" w:lineRule="auto"/>
        <w:rPr>
          <w:sz w:val="20"/>
          <w:szCs w:val="20"/>
          <w:color w:val="auto"/>
        </w:rPr>
      </w:pPr>
      <w:r>
        <w:rPr>
          <w:rFonts w:ascii="Arial" w:cs="Arial" w:eastAsia="Arial" w:hAnsi="Arial"/>
          <w:sz w:val="16"/>
          <w:szCs w:val="16"/>
          <w:color w:val="auto"/>
        </w:rPr>
        <w:t>The Company and the real estate partnerships account for business combinations using the acquisition method by recognizing and measuring the identifiable assets acquired, the liabilities assumed, and any noncontrolling interest in the acquiree at their acquisition date fair values. The Company expenses transaction costs associated with business combinations in the period incurred.</w:t>
      </w:r>
    </w:p>
    <w:p>
      <w:pPr>
        <w:spacing w:after="0" w:line="93" w:lineRule="exact"/>
        <w:rPr>
          <w:sz w:val="20"/>
          <w:szCs w:val="20"/>
          <w:color w:val="auto"/>
        </w:rPr>
      </w:pPr>
    </w:p>
    <w:p>
      <w:pPr>
        <w:ind w:left="100" w:right="260"/>
        <w:spacing w:after="0" w:line="312" w:lineRule="auto"/>
        <w:rPr>
          <w:sz w:val="20"/>
          <w:szCs w:val="20"/>
          <w:color w:val="auto"/>
        </w:rPr>
      </w:pPr>
      <w:r>
        <w:rPr>
          <w:rFonts w:ascii="Arial" w:cs="Arial" w:eastAsia="Arial" w:hAnsi="Arial"/>
          <w:sz w:val="16"/>
          <w:szCs w:val="16"/>
          <w:color w:val="auto"/>
        </w:rPr>
        <w:t>The Company's methodology includes estimating an “as-if vacant” fair value of the physical property, which includes land, building, and improvements. In addition, the Company determines the estimated fair value of identifiable intangible assets, considering the following three categories: (i) value of in-place leases, (ii) above and below-market value of in-place leases, and (iii) customer relationship value.</w:t>
      </w:r>
    </w:p>
    <w:p>
      <w:pPr>
        <w:spacing w:after="0" w:line="93" w:lineRule="exact"/>
        <w:rPr>
          <w:sz w:val="20"/>
          <w:szCs w:val="20"/>
          <w:color w:val="auto"/>
        </w:rPr>
      </w:pPr>
    </w:p>
    <w:p>
      <w:pPr>
        <w:ind w:left="100" w:right="20"/>
        <w:spacing w:after="0" w:line="286" w:lineRule="auto"/>
        <w:rPr>
          <w:sz w:val="20"/>
          <w:szCs w:val="20"/>
          <w:color w:val="auto"/>
        </w:rPr>
      </w:pPr>
      <w:r>
        <w:rPr>
          <w:rFonts w:ascii="Arial" w:cs="Arial" w:eastAsia="Arial" w:hAnsi="Arial"/>
          <w:sz w:val="17"/>
          <w:szCs w:val="17"/>
          <w:color w:val="auto"/>
        </w:rPr>
        <w:t>The value of in-place leases is estimated based on the value associated with the costs avoided in originating leases compared to the acquired in-place leases as well as the value associated with lost rental and recovery revenue during the assumed lease-up period. The value of in-place leases is recorded to amortization expense over the remaining initial term of the respective leases.</w:t>
      </w:r>
    </w:p>
    <w:p>
      <w:pPr>
        <w:spacing w:after="0" w:line="111"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Above-market and below-market in-place lease values for acquired properties are recorded based on the present value of the difference between (i) the contractual amounts to be paid pursuant to the in-place leases and (ii) management's</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20"/>
          </w:cols>
          <w:pgMar w:left="1440" w:top="121" w:right="239" w:bottom="1440" w:gutter="0" w:footer="0" w:header="0"/>
        </w:sectPr>
      </w:pPr>
    </w:p>
    <w:bookmarkStart w:id="88" w:name="page89"/>
    <w:bookmarkEnd w:id="88"/>
    <w:p>
      <w:pPr>
        <w:jc w:val="center"/>
        <w:ind w:left="100" w:right="12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right="40"/>
        <w:spacing w:after="0" w:line="255" w:lineRule="auto"/>
        <w:rPr>
          <w:sz w:val="20"/>
          <w:szCs w:val="20"/>
          <w:color w:val="auto"/>
        </w:rPr>
      </w:pPr>
      <w:r>
        <w:rPr>
          <w:rFonts w:ascii="Arial" w:cs="Arial" w:eastAsia="Arial" w:hAnsi="Arial"/>
          <w:sz w:val="18"/>
          <w:szCs w:val="18"/>
          <w:color w:val="auto"/>
        </w:rPr>
        <w:t>estimate of fair market lease rates for comparable in-place leases, measured over a period equal to the remaining non-cancelable term of the lease. The value of above-market leases is amortized as a reduction of minimum rent over the remaining terms of the respective leases and the value of below-market leases is accreted to minimum rent over the remaining terms of the respective leases, including below-market renewal options, if applicable. The Company does not assign value to customer relationship intangibles if it has pre-existing business relationships with the major retailers at the acquired property since they do not provide incremental value over the Company's existing relationships.</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Company classifies an operating property or a property in development as held-for-sale upon satisfaction of the following criteria:</w:t>
      </w:r>
    </w:p>
    <w:p>
      <w:pPr>
        <w:spacing w:after="0" w:line="35" w:lineRule="exact"/>
        <w:rPr>
          <w:sz w:val="20"/>
          <w:szCs w:val="20"/>
          <w:color w:val="auto"/>
        </w:rPr>
      </w:pPr>
    </w:p>
    <w:p>
      <w:pPr>
        <w:ind w:left="100" w:right="20" w:firstLine="5"/>
        <w:spacing w:after="0" w:line="252"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commits to a plan to sell a property (or group of properties), (ii) the property is available for immediate sale in its present condition subject only to terms that are usual and customary for sales of such properties, (iii) an active program to locate a buyer and other actions required to complete the plan to sell the property have been initiated, (iv) the sale of the property is probable and transfer of the asset is expected to be completed within one year, (v) the property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140" w:lineRule="exact"/>
        <w:rPr>
          <w:sz w:val="20"/>
          <w:szCs w:val="20"/>
          <w:color w:val="auto"/>
        </w:rPr>
      </w:pPr>
    </w:p>
    <w:p>
      <w:pPr>
        <w:ind w:left="100"/>
        <w:spacing w:after="0" w:line="286" w:lineRule="auto"/>
        <w:rPr>
          <w:sz w:val="20"/>
          <w:szCs w:val="20"/>
          <w:color w:val="auto"/>
        </w:rPr>
      </w:pPr>
      <w:r>
        <w:rPr>
          <w:rFonts w:ascii="Arial" w:cs="Arial" w:eastAsia="Arial" w:hAnsi="Arial"/>
          <w:sz w:val="16"/>
          <w:szCs w:val="16"/>
          <w:color w:val="auto"/>
        </w:rPr>
        <w:t>Given the nature of all real estate sales contracts, it is not unusual for such contracts to allow prospective buyers a period of time to evaluate the property prior to formal acceptance of the contract. In addition, certain other matters critical to the final sale, such as financing arrangements, often remain pending even upon contract acceptance. As a result, properties under contract may not close within the expected time period, or may not close at all. Therefore, any properties categorized as held-for-sale represent only those properties that management has determined are probable to close within the requirements set forth above. Operating properties held-for-sale are carried at the lower of cost or fair value less costs to sell. The recording of depreciation and amortization expense is suspended during the held-for-sale period. If circumstances arise that previously were considered unlikely and, as a result, the Company decides not to sell a property previously classified as held-for-sale, the property is reclassified as held and used and is measured individually at the lower of its (i) carrying amount before the property was classified as held-for-sale, adjusted for any depreciation and amortization expense that would have been recognized had the property been continuously classified as held and used or (ii) the fair value at the date of the subsequent decision not to sell. Any required adjustment to the carrying amount of the property reclassified as held and used is included in income from continuing operations in the period of the subsequent decision not to sell and the results of operations previously reported in discontinued operations are reclassified and included in income from continuing operations for all periods presented.</w:t>
      </w:r>
    </w:p>
    <w:p>
      <w:pPr>
        <w:spacing w:after="0" w:line="121" w:lineRule="exact"/>
        <w:rPr>
          <w:sz w:val="20"/>
          <w:szCs w:val="20"/>
          <w:color w:val="auto"/>
        </w:rPr>
      </w:pPr>
    </w:p>
    <w:p>
      <w:pPr>
        <w:ind w:left="100"/>
        <w:spacing w:after="0" w:line="273" w:lineRule="auto"/>
        <w:rPr>
          <w:sz w:val="20"/>
          <w:szCs w:val="20"/>
          <w:color w:val="auto"/>
        </w:rPr>
      </w:pPr>
      <w:r>
        <w:rPr>
          <w:rFonts w:ascii="Arial" w:cs="Arial" w:eastAsia="Arial" w:hAnsi="Arial"/>
          <w:sz w:val="17"/>
          <w:szCs w:val="17"/>
          <w:color w:val="auto"/>
        </w:rPr>
        <w:t>When the Company sells a property or classifies a property as held-for-sale and will not have significant continuing involvement in the operation of the property, the operations of the property are eliminated from ongoing operations and classified in discontinued operations. Its operations, including any mortgage interest and gain on sale, are reported in discontinued operations so that the operations are clearly distinguished. Prior periods are also reclassified to reflect the operations of the property as discontinued operations. When the Company sells an operating property to a joint venture or to a third party, and will continue to manage the property, the operations and gain on sale are included in income from continuing operations.</w:t>
      </w:r>
    </w:p>
    <w:p>
      <w:pPr>
        <w:spacing w:after="0" w:line="124" w:lineRule="exact"/>
        <w:rPr>
          <w:sz w:val="20"/>
          <w:szCs w:val="20"/>
          <w:color w:val="auto"/>
        </w:rPr>
      </w:pPr>
    </w:p>
    <w:p>
      <w:pPr>
        <w:ind w:left="100" w:right="20"/>
        <w:spacing w:after="0" w:line="269" w:lineRule="auto"/>
        <w:rPr>
          <w:sz w:val="20"/>
          <w:szCs w:val="20"/>
          <w:color w:val="auto"/>
        </w:rPr>
      </w:pPr>
      <w:r>
        <w:rPr>
          <w:rFonts w:ascii="Arial" w:cs="Arial" w:eastAsia="Arial" w:hAnsi="Arial"/>
          <w:sz w:val="17"/>
          <w:szCs w:val="17"/>
          <w:color w:val="auto"/>
        </w:rPr>
        <w:t>We evaluate whether there are any indicators, including property operating performance and general market conditions, that the value of the real estate properties (including any related amortizable intangible assets or liabilities) may not be recoverable. Through the evaluation, we compare the current carrying value of the asset to the estimated undiscounted cash flows that are directly associated with the use and ultimate disposition of the asset. Our estimated cash flows are based on several key assumptions, including rental rates, costs of tenant improvements, leasing commissions, anticipated hold period, and assumptions regarding the residual value upon disposition, including the exit capitalization rate. These key assumptions are subjective in nature and could differ materially from actual results. Changes in our disposition strategy or changes in the marketplace may alter the hold period of an asset or asset group which may result in an impairment loss and such loss could be material to the Company's financial condition or operating performance. To the extent that the carrying value of the asset exceeds the estimated undiscounted cash flows, an impairment loss is recognized equal to the excess of carrying value over fair value. If such indicators are not identified, management will not assess the recoverability of a property's carrying value. If a property previously classified as held and used is changed to held-for-sale, the Company estimates fair value, less expected costs to sell, which could cause the Company to determine that the property is impaired.</w:t>
      </w: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200"/>
          </w:cols>
          <w:pgMar w:left="1440" w:top="121" w:right="259" w:bottom="1440" w:gutter="0" w:footer="0" w:header="0"/>
        </w:sectPr>
      </w:pPr>
    </w:p>
    <w:bookmarkStart w:id="89" w:name="page90"/>
    <w:bookmarkEnd w:id="89"/>
    <w:p>
      <w:pPr>
        <w:jc w:val="center"/>
        <w:ind w:right="6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80"/>
        <w:spacing w:after="0" w:line="255" w:lineRule="auto"/>
        <w:rPr>
          <w:sz w:val="20"/>
          <w:szCs w:val="20"/>
          <w:color w:val="auto"/>
        </w:rPr>
      </w:pPr>
      <w:r>
        <w:rPr>
          <w:rFonts w:ascii="Arial" w:cs="Arial" w:eastAsia="Arial" w:hAnsi="Arial"/>
          <w:sz w:val="18"/>
          <w:szCs w:val="18"/>
          <w:color w:val="auto"/>
        </w:rPr>
        <w:t>The fair value of real estate assets is highly subjective and is determined through comparable sales information and other market data if available, or through use of an income approach such as the direct capitalization method or the traditional discounted cash flow approach. Such cash flow projections consider factors such as expected future operating income, trends and prospects, as well as the effects of demand, competition and other factors, and therefore is subject to a significant degree of management judgment and changes in those factors could impact the determination of fair value. In estimating the fair value of undeveloped land, the Company generally uses market data and comparable sales information.</w:t>
      </w:r>
    </w:p>
    <w:p>
      <w:pPr>
        <w:spacing w:after="0" w:line="139" w:lineRule="exact"/>
        <w:rPr>
          <w:sz w:val="20"/>
          <w:szCs w:val="20"/>
          <w:color w:val="auto"/>
        </w:rPr>
      </w:pPr>
    </w:p>
    <w:p>
      <w:pPr>
        <w:ind w:left="640" w:right="80"/>
        <w:spacing w:after="0" w:line="257" w:lineRule="auto"/>
        <w:rPr>
          <w:sz w:val="20"/>
          <w:szCs w:val="20"/>
          <w:color w:val="auto"/>
        </w:rPr>
      </w:pPr>
      <w:r>
        <w:rPr>
          <w:rFonts w:ascii="Arial" w:cs="Arial" w:eastAsia="Arial" w:hAnsi="Arial"/>
          <w:sz w:val="18"/>
          <w:szCs w:val="18"/>
          <w:color w:val="auto"/>
        </w:rPr>
        <w:t>During the years ended December 31, 2012, 2011, and 2010, the Company established a provision for impairment on Consolidated Properties of $74.8 million, $15.9 million, and $23.9 million, respectively, of which $3.5 million and $6.7 million was included in discontinued operations for 2011 and 2010, respectively. There were no impairments included in discontinued operations in 2012. Further, the Company evaluated its property portfolio and did not identify any properties that would meet the above mentioned criteria for held-for-sale as of December 31, 2012 and 2011.</w:t>
      </w:r>
    </w:p>
    <w:p>
      <w:pPr>
        <w:spacing w:after="0" w:line="134"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A loss in value of investments in real estate partnerships under the equity method of accounting, other than a temporary decline, must be recognized in the period in which the loss occurs. If management identifies indicators that the value of the Company's investment in real estate partnerships may be impaired, it evaluates the investment by calculating the fair value of the investment by discounting estimated future cash flows over the expected term of the investment. As a result of this evaluation, the Company established no provision for impairment during the year ended December 31, 2012, and established a provision for impairment of $4.6 million on one investment in real estate partnership during the year ended December 31, 2011 and $2.7 million on another investment in real estate partnership during the year ended December 31, 2010 .</w:t>
      </w:r>
    </w:p>
    <w:p>
      <w:pPr>
        <w:spacing w:after="0" w:line="135"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color w:val="auto"/>
        </w:rPr>
        <w:t>The net tax basis of the Company's real estate assets exceeds the book basis by approximately $247.6 million and $95.1 million at December 31, 2012 and 2011, respectively, primarily due to the property impairments recorded for book purposes and the cost basis of the assets acquired and their carryover basis recorded for tax purposes.</w:t>
      </w:r>
    </w:p>
    <w:p>
      <w:pPr>
        <w:spacing w:after="0" w:line="3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Cash and Cash Equivalents</w:t>
      </w:r>
    </w:p>
    <w:p>
      <w:pPr>
        <w:spacing w:after="0" w:line="171"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Any instruments which have an original maturity of 90 days or less when purchased are considered cash equivalents. At December 31, 2012 and 2011, $6.5 million and $6.0 million, respectively, of cash was restricted through escrow agreements and certain mortgage loans.</w:t>
      </w:r>
    </w:p>
    <w:p>
      <w:pPr>
        <w:spacing w:after="0" w:line="25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Notes Receivable</w:t>
      </w:r>
    </w:p>
    <w:p>
      <w:pPr>
        <w:spacing w:after="0" w:line="171" w:lineRule="exact"/>
        <w:rPr>
          <w:sz w:val="20"/>
          <w:szCs w:val="20"/>
          <w:color w:val="auto"/>
        </w:rPr>
      </w:pPr>
    </w:p>
    <w:p>
      <w:pPr>
        <w:ind w:left="640" w:right="40"/>
        <w:spacing w:after="0" w:line="270" w:lineRule="auto"/>
        <w:rPr>
          <w:sz w:val="20"/>
          <w:szCs w:val="20"/>
          <w:color w:val="auto"/>
        </w:rPr>
      </w:pPr>
      <w:r>
        <w:rPr>
          <w:rFonts w:ascii="Arial" w:cs="Arial" w:eastAsia="Arial" w:hAnsi="Arial"/>
          <w:sz w:val="17"/>
          <w:szCs w:val="17"/>
          <w:color w:val="auto"/>
        </w:rPr>
        <w:t>The Company records notes receivable at cost on the accompanying Consolidated Balance Sheets and interest income is accrued as earned and netted against interest expense in the accompanying Consolidated Statements of Operations. If a note receivable is past due, meaning the debtor is past due per contractual obligations, the Company ceases to accrue interest. However, in the event the debtor subsequently becomes current, the Company will resume accruing interest and record the interest income accordingly. The Company evaluates the collectibility of both interest and principal for all notes receivable to determine whether impairment exists using the present value of expected cash flows discounted at the note receivable's effective interest rate or, alternatively, at the observable market price of the loan or the fair value of the collateral if the loan is collateral dependent. In the event the Company determines a note receivable or a portion thereof is considered uncollectible, the Company records a provision for impairment. The Company estimates the collectibility of notes receivable taking into consideration the Company's experience in the retail sector, available internal and external credit information, payment history, market and industry trends, and debtor credit-worthiness.</w:t>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40"/>
          </w:cols>
          <w:pgMar w:left="900" w:top="121" w:right="259" w:bottom="1440" w:gutter="0" w:footer="0" w:header="0"/>
        </w:sectPr>
      </w:pPr>
    </w:p>
    <w:bookmarkStart w:id="90" w:name="page91"/>
    <w:bookmarkEnd w:id="90"/>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Deferred Costs</w:t>
      </w:r>
    </w:p>
    <w:p>
      <w:pPr>
        <w:spacing w:after="0" w:line="171" w:lineRule="exact"/>
        <w:rPr>
          <w:sz w:val="20"/>
          <w:szCs w:val="20"/>
          <w:color w:val="auto"/>
        </w:rPr>
      </w:pPr>
    </w:p>
    <w:p>
      <w:pPr>
        <w:ind w:left="640" w:right="40"/>
        <w:spacing w:after="0" w:line="273" w:lineRule="auto"/>
        <w:rPr>
          <w:sz w:val="20"/>
          <w:szCs w:val="20"/>
          <w:color w:val="auto"/>
        </w:rPr>
      </w:pPr>
      <w:r>
        <w:rPr>
          <w:rFonts w:ascii="Arial" w:cs="Arial" w:eastAsia="Arial" w:hAnsi="Arial"/>
          <w:sz w:val="17"/>
          <w:szCs w:val="17"/>
          <w:color w:val="auto"/>
        </w:rPr>
        <w:t>Deferred costs include leasing costs and loan costs, net of accumulated amortization. Such costs are amortized over the periods through lease expiration or loan maturity, respectively. If the lease is terminated early, or if the loan is repaid prior to maturity, the remaining leasing costs or loan costs are written off. Deferred leasing costs consist of internal and external commissions associated with leasing the Company's shopping centers. Net deferred leasing costs were $55.5 million and $56.5 million at December 31, 2012 and 2011, respectively. Deferred loan costs consist of initial direct and incremental costs associated with financing activities. Net deferred loan costs were $14.0 million and $13.7 million at December 31, 2012 and 2011, respectively.</w:t>
      </w:r>
    </w:p>
    <w:p>
      <w:pPr>
        <w:spacing w:after="0" w:line="3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Derivative Financial Instruments</w:t>
      </w:r>
    </w:p>
    <w:p>
      <w:pPr>
        <w:spacing w:after="0" w:line="360"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future payment of known and uncertain cash amounts, the amount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139" w:lineRule="exact"/>
        <w:rPr>
          <w:sz w:val="20"/>
          <w:szCs w:val="20"/>
          <w:color w:val="auto"/>
        </w:rPr>
      </w:pPr>
    </w:p>
    <w:p>
      <w:pPr>
        <w:ind w:left="640"/>
        <w:spacing w:after="0" w:line="269" w:lineRule="auto"/>
        <w:rPr>
          <w:sz w:val="20"/>
          <w:szCs w:val="20"/>
          <w:color w:val="auto"/>
        </w:rPr>
      </w:pPr>
      <w:r>
        <w:rPr>
          <w:rFonts w:ascii="Arial" w:cs="Arial" w:eastAsia="Arial" w:hAnsi="Arial"/>
          <w:sz w:val="17"/>
          <w:szCs w:val="17"/>
          <w:color w:val="auto"/>
        </w:rPr>
        <w:t>All derivative instruments, whether designated in hedging relationships or not, are recorded on the accompanying Consolidated Balance Sheets at their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attributable to the hedged risk in a fair value hedge or the earnings effect of the hedged forecasted transactions in a cash flow hedge. The Company may enter into derivative contracts that are intended to economically hedge certain risks, even though hedge accounting does not apply or the Company elects not to apply hedge accounting.</w:t>
      </w:r>
    </w:p>
    <w:p>
      <w:pPr>
        <w:spacing w:after="0" w:line="129"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The Company uses interest rate swaps to mitigate its interest rate risk on a related financial instrument or forecasted transaction, and the Company designates these interest rate swaps as cash flow hedges. Interest rate swaps designated as cash flow hedges involve the receipt of variable-rate amounts from a counterparty in exchange for the Company making fixed-rate payments over the life of the agreements without exchange of the underlying notional amount. The gains or losses resulting from changes in fair value of derivatives that qualify as cash flow hedges are recognized in other comprehensive income (“OCI”) while the ineffective portion of the derivative's change in fair value is recognized in the Statements of Operations as a gain or loss on derivative instruments. Upon the settlement of a hedge, gains and losses remaining in OCI are amortized over the underlying term of the hedged transaction.</w:t>
      </w:r>
    </w:p>
    <w:p>
      <w:pPr>
        <w:spacing w:after="0" w:line="124" w:lineRule="exact"/>
        <w:rPr>
          <w:sz w:val="20"/>
          <w:szCs w:val="20"/>
          <w:color w:val="auto"/>
        </w:rPr>
      </w:pPr>
    </w:p>
    <w:p>
      <w:pPr>
        <w:ind w:left="640" w:right="440"/>
        <w:spacing w:after="0" w:line="259" w:lineRule="auto"/>
        <w:rPr>
          <w:sz w:val="20"/>
          <w:szCs w:val="20"/>
          <w:color w:val="auto"/>
        </w:rPr>
      </w:pPr>
      <w:r>
        <w:rPr>
          <w:rFonts w:ascii="Arial" w:cs="Arial" w:eastAsia="Arial" w:hAnsi="Arial"/>
          <w:sz w:val="18"/>
          <w:szCs w:val="18"/>
          <w:color w:val="auto"/>
        </w:rPr>
        <w:t>The Company formally documents all relationships between hedging instruments and hedged items, as well as its risk management objectives and strategies for undertaking various hedge transactions. The Company assesses, both at inception of the hedge and on an ongoing basis, whether the derivatives that are used in hedging transactions are highly effective in offsetting changes in the cash flows and/or forecasted cash flows of the hedged items.</w:t>
      </w:r>
    </w:p>
    <w:p>
      <w:pPr>
        <w:spacing w:after="0" w:line="133" w:lineRule="exact"/>
        <w:rPr>
          <w:sz w:val="20"/>
          <w:szCs w:val="20"/>
          <w:color w:val="auto"/>
        </w:rPr>
      </w:pPr>
    </w:p>
    <w:p>
      <w:pPr>
        <w:ind w:left="640" w:right="380"/>
        <w:spacing w:after="0" w:line="264" w:lineRule="auto"/>
        <w:rPr>
          <w:sz w:val="20"/>
          <w:szCs w:val="20"/>
          <w:color w:val="auto"/>
        </w:rPr>
      </w:pPr>
      <w:r>
        <w:rPr>
          <w:rFonts w:ascii="Arial" w:cs="Arial" w:eastAsia="Arial" w:hAnsi="Arial"/>
          <w:sz w:val="18"/>
          <w:szCs w:val="18"/>
          <w:color w:val="auto"/>
        </w:rPr>
        <w:t>In assessing the valuation of the hedges, the Company uses standard market conventions and techniques such as discounted cash flow analysis, option pricing models, and termination costs at each balance sheet date. All methods of assessing fair value result in a general approximation of value, and such value may never actually be realized.</w:t>
      </w:r>
    </w:p>
    <w:p>
      <w:pPr>
        <w:spacing w:after="0" w:line="127" w:lineRule="exact"/>
        <w:rPr>
          <w:sz w:val="20"/>
          <w:szCs w:val="20"/>
          <w:color w:val="auto"/>
        </w:rPr>
      </w:pPr>
    </w:p>
    <w:p>
      <w:pPr>
        <w:ind w:left="640" w:right="840"/>
        <w:spacing w:after="0" w:line="277" w:lineRule="auto"/>
        <w:rPr>
          <w:sz w:val="20"/>
          <w:szCs w:val="20"/>
          <w:color w:val="auto"/>
        </w:rPr>
      </w:pPr>
      <w:r>
        <w:rPr>
          <w:rFonts w:ascii="Arial" w:cs="Arial" w:eastAsia="Arial" w:hAnsi="Arial"/>
          <w:sz w:val="18"/>
          <w:szCs w:val="18"/>
          <w:color w:val="auto"/>
        </w:rPr>
        <w:t>The settlement of interest rate swap terminations is presented in cash flows provided by operating activities in the accompanying Consolidated Statements of Cash Flows.</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60"/>
          </w:cols>
          <w:pgMar w:left="900" w:top="121" w:right="239" w:bottom="1440" w:gutter="0" w:footer="0" w:header="0"/>
        </w:sectPr>
      </w:pPr>
    </w:p>
    <w:bookmarkStart w:id="91" w:name="page92"/>
    <w:bookmarkEnd w:id="91"/>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5"/>
          <w:szCs w:val="15"/>
          <w:color w:val="auto"/>
        </w:rPr>
        <w:t>Income Taxes</w:t>
      </w:r>
    </w:p>
    <w:p>
      <w:pPr>
        <w:spacing w:after="0" w:line="171" w:lineRule="exact"/>
        <w:rPr>
          <w:sz w:val="20"/>
          <w:szCs w:val="20"/>
          <w:color w:val="auto"/>
        </w:rPr>
      </w:pPr>
    </w:p>
    <w:p>
      <w:pPr>
        <w:ind w:left="640" w:right="40"/>
        <w:spacing w:after="0" w:line="293" w:lineRule="auto"/>
        <w:rPr>
          <w:sz w:val="20"/>
          <w:szCs w:val="20"/>
          <w:color w:val="auto"/>
        </w:rPr>
      </w:pPr>
      <w:r>
        <w:rPr>
          <w:rFonts w:ascii="Arial" w:cs="Arial" w:eastAsia="Arial" w:hAnsi="Arial"/>
          <w:sz w:val="16"/>
          <w:szCs w:val="16"/>
          <w:color w:val="auto"/>
        </w:rPr>
        <w:t>The Parent Company believes it qualifies, and intends to continue to qualify, as a REIT under the Internal Revenue Code (the “Code”). As a REIT, the Parent Company will generally not be subject to federal income tax, provided that distributions to its stockholders are at least equal to REIT taxable income. Regency Realty Group, Inc. (“RRG”), a wholly-owned subsidiary of the Operating Partnership, is a Taxable REIT Subsidiary (“TRS”) as defined in Section 856(l) of the Code. RRG is subject to federal and state income taxes and files separate tax returns. As a pass through entity, the Operating Partnership's taxable income or loss is reported by its partners, of which the Parent Company, as general partner and approximately 99.8% owner, is allocated its pro-rata share of tax attributes.</w:t>
      </w:r>
    </w:p>
    <w:p>
      <w:pPr>
        <w:spacing w:after="0" w:line="111" w:lineRule="exact"/>
        <w:rPr>
          <w:sz w:val="20"/>
          <w:szCs w:val="20"/>
          <w:color w:val="auto"/>
        </w:rPr>
      </w:pPr>
    </w:p>
    <w:p>
      <w:pPr>
        <w:ind w:left="640" w:right="160"/>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estimated tax consequences attributable to differences between the financial statement carrying amounts of existing assets and liabilities and their respective tax bases. Deferred tax assets and liabilities are measured using the enacted tax rates in effect for the year in which these temporary differences are expected to be recovered or settled.</w:t>
      </w:r>
    </w:p>
    <w:p>
      <w:pPr>
        <w:spacing w:after="0" w:line="133" w:lineRule="exact"/>
        <w:rPr>
          <w:sz w:val="20"/>
          <w:szCs w:val="20"/>
          <w:color w:val="auto"/>
        </w:rPr>
      </w:pPr>
    </w:p>
    <w:p>
      <w:pPr>
        <w:jc w:val="both"/>
        <w:ind w:left="640" w:right="220"/>
        <w:spacing w:after="0" w:line="342" w:lineRule="auto"/>
        <w:rPr>
          <w:sz w:val="20"/>
          <w:szCs w:val="20"/>
          <w:color w:val="auto"/>
        </w:rPr>
      </w:pPr>
      <w:r>
        <w:rPr>
          <w:rFonts w:ascii="Arial" w:cs="Arial" w:eastAsia="Arial" w:hAnsi="Arial"/>
          <w:sz w:val="16"/>
          <w:szCs w:val="16"/>
          <w:color w:val="auto"/>
        </w:rPr>
        <w:t>Earnings and profits, which determine the taxability of dividends to stockholders, differs from net income reported for financial reporting purposes primarily because of differences in depreciable lives and cost bases of the shopping centers, as well as other timing differences.</w:t>
      </w:r>
    </w:p>
    <w:p>
      <w:pPr>
        <w:spacing w:after="0" w:line="124" w:lineRule="exact"/>
        <w:rPr>
          <w:sz w:val="20"/>
          <w:szCs w:val="20"/>
          <w:color w:val="auto"/>
        </w:rPr>
      </w:pPr>
    </w:p>
    <w:p>
      <w:pPr>
        <w:ind w:left="640" w:right="20"/>
        <w:spacing w:after="0" w:line="273" w:lineRule="auto"/>
        <w:rPr>
          <w:sz w:val="20"/>
          <w:szCs w:val="20"/>
          <w:color w:val="auto"/>
        </w:rPr>
      </w:pPr>
      <w:r>
        <w:rPr>
          <w:rFonts w:ascii="Arial" w:cs="Arial" w:eastAsia="Arial" w:hAnsi="Arial"/>
          <w:sz w:val="17"/>
          <w:szCs w:val="17"/>
          <w:color w:val="auto"/>
        </w:rPr>
        <w:t>Tax positions are initially recognized in the financial statements when it is more likely than not the position will be sustained upon examination by the tax authorities. Such tax positions shall initially and subsequently be measured as the largest amount of tax benefit that has a greater than 50% likelihood of being realized upon ultimate settlement with the tax authority assuming full knowledge of the position and relevant facts. The Company believes that it has appropriate support for the income tax positions taken and to be taken on its tax returns and that its accruals for tax liabilities are adequate for all open tax years (2009 and forward for federal and state) based on an assessment of many factors including past experience and interpretations of tax laws applied to the facts of each matter.</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Earnings per Share and Unit</w:t>
      </w:r>
    </w:p>
    <w:p>
      <w:pPr>
        <w:spacing w:after="0" w:line="171" w:lineRule="exact"/>
        <w:rPr>
          <w:sz w:val="20"/>
          <w:szCs w:val="20"/>
          <w:color w:val="auto"/>
        </w:rPr>
      </w:pPr>
    </w:p>
    <w:p>
      <w:pPr>
        <w:ind w:left="640" w:right="280"/>
        <w:spacing w:after="0" w:line="302" w:lineRule="auto"/>
        <w:rPr>
          <w:sz w:val="20"/>
          <w:szCs w:val="20"/>
          <w:color w:val="auto"/>
        </w:rPr>
      </w:pPr>
      <w:r>
        <w:rPr>
          <w:rFonts w:ascii="Arial" w:cs="Arial" w:eastAsia="Arial" w:hAnsi="Arial"/>
          <w:sz w:val="16"/>
          <w:szCs w:val="16"/>
          <w:color w:val="auto"/>
        </w:rPr>
        <w:t>Basic earnings per share of common stock and unit are computed based upon the weighted average number of common shares and units, respectively, outstanding during the period. Diluted earnings per share and unit reflect the conversion of obligations and the assumed exercises of securities including the effects of shares issuable under the Company's share-based payment arrangements, if dilutive. Dividends paid on the Company's share-based compensation awards are not participating securities as they are forfeitable.</w:t>
      </w:r>
    </w:p>
    <w:p>
      <w:pPr>
        <w:spacing w:after="0" w:line="2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color w:val="auto"/>
        </w:rPr>
        <w:t>Stock-Based Compensation</w:t>
      </w:r>
    </w:p>
    <w:p>
      <w:pPr>
        <w:spacing w:after="0" w:line="17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color w:val="auto"/>
        </w:rPr>
        <w:t>The Company grants stock-based compensation to its employees and directors. The Company recognizes stock-based compensation based on the grant-date fair value of the award and the cost of the stock-based compensation is expensed over the vesting period.</w:t>
      </w:r>
    </w:p>
    <w:p>
      <w:pPr>
        <w:spacing w:after="0" w:line="70"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When the Parent Company issues common shares as compensation, it receives a like number of common units from the Operating Partnership. The Company is committed to contributing to the Operating Partnership all proceeds from the exercise of stock options or other share-based awards granted under the Parent Company's Long-Term Omnibus Plan (the “Plan”). Accordingly, the Parent Company's ownership in the Operating Partnership will increase based on the amount of proceeds contributed to the Operating Partnership for the common units it receives. As a result of the issuance of common units to the Parent Company for stock-based compensation, the Operating Partnership accounts for stock-based compensation in the same manner as the Parent Company.</w:t>
      </w:r>
    </w:p>
    <w:p>
      <w:pPr>
        <w:spacing w:after="0" w:line="3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6"/>
          <w:szCs w:val="16"/>
          <w:color w:val="auto"/>
        </w:rPr>
        <w:t>Segment Reporting</w:t>
      </w:r>
    </w:p>
    <w:p>
      <w:pPr>
        <w:spacing w:after="0" w:line="171" w:lineRule="exact"/>
        <w:rPr>
          <w:sz w:val="20"/>
          <w:szCs w:val="20"/>
          <w:color w:val="auto"/>
        </w:rPr>
      </w:pPr>
    </w:p>
    <w:p>
      <w:pPr>
        <w:ind w:left="640" w:right="180"/>
        <w:spacing w:after="0" w:line="257" w:lineRule="auto"/>
        <w:rPr>
          <w:sz w:val="20"/>
          <w:szCs w:val="20"/>
          <w:color w:val="auto"/>
        </w:rPr>
      </w:pPr>
      <w:r>
        <w:rPr>
          <w:rFonts w:ascii="Arial" w:cs="Arial" w:eastAsia="Arial" w:hAnsi="Arial"/>
          <w:sz w:val="18"/>
          <w:szCs w:val="18"/>
          <w:color w:val="auto"/>
        </w:rPr>
        <w:t>The Company's business is investing in retail shopping centers through direct ownership or through joint ventures. The Company actively manages its portfolio of retail shopping centers and may from time to time make decisions to sell lower performing properties or developments not meeting its long-term investment objectives. The proceeds from sales are reinvested into higher quality retail shopping centers, through acquisitions or new developments, which management believes will generate sustainable revenue growth and attractive returns. It is management's intent that</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760"/>
          </w:cols>
          <w:pgMar w:left="900" w:top="121" w:right="239" w:bottom="1440" w:gutter="0" w:footer="0" w:header="0"/>
        </w:sectPr>
      </w:pPr>
    </w:p>
    <w:bookmarkStart w:id="92" w:name="page93"/>
    <w:bookmarkEnd w:id="92"/>
    <w:p>
      <w:pPr>
        <w:jc w:val="center"/>
        <w:ind w:right="656"/>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44" w:right="20"/>
        <w:spacing w:after="0" w:line="312" w:lineRule="auto"/>
        <w:rPr>
          <w:sz w:val="20"/>
          <w:szCs w:val="20"/>
          <w:color w:val="auto"/>
        </w:rPr>
      </w:pPr>
      <w:r>
        <w:rPr>
          <w:rFonts w:ascii="Arial" w:cs="Arial" w:eastAsia="Arial" w:hAnsi="Arial"/>
          <w:sz w:val="16"/>
          <w:szCs w:val="16"/>
          <w:color w:val="auto"/>
        </w:rPr>
        <w:t>all retail shopping centers will be owned or developed for investment purposes; however, the Company may decide to sell all or a portion of a development upon completion. The Company's revenues and net income are generated from the operation of its investment portfolio. The Company also earns fees for services provided to manage and lease retail shopping centers owned through joint ventures.</w:t>
      </w:r>
    </w:p>
    <w:p>
      <w:pPr>
        <w:spacing w:after="0" w:line="93" w:lineRule="exact"/>
        <w:rPr>
          <w:sz w:val="20"/>
          <w:szCs w:val="20"/>
          <w:color w:val="auto"/>
        </w:rPr>
      </w:pPr>
    </w:p>
    <w:p>
      <w:pPr>
        <w:ind w:left="644" w:right="160"/>
        <w:spacing w:after="0" w:line="273" w:lineRule="auto"/>
        <w:rPr>
          <w:sz w:val="20"/>
          <w:szCs w:val="20"/>
          <w:color w:val="auto"/>
        </w:rPr>
      </w:pPr>
      <w:r>
        <w:rPr>
          <w:rFonts w:ascii="Arial" w:cs="Arial" w:eastAsia="Arial" w:hAnsi="Arial"/>
          <w:sz w:val="17"/>
          <w:szCs w:val="17"/>
          <w:color w:val="auto"/>
        </w:rPr>
        <w:t>The Company's portfolio is located throughout the United States; however, management does not distinguish or group its operations on a geographical basis for purposes of allocating resources or capital. The Company reviews operating and financial data for each property on an individual basis; therefore, the Company defines an operating segment as its individual properties. The individual properties have been aggregated into one reportable segment based upon their similarities with regard to both the nature and economics of the centers, tenants and operational processes, as well as long-term average financial performance. In addition, no single tenant accounts for 5% or more of revenue and none of the shopping centers are located outside the United States.</w:t>
      </w:r>
    </w:p>
    <w:p>
      <w:pPr>
        <w:spacing w:after="0" w:line="314"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16"/>
          <w:szCs w:val="16"/>
          <w:color w:val="auto"/>
        </w:rPr>
        <w:t>Fair Value of Assets and Liabilities</w:t>
      </w:r>
    </w:p>
    <w:p>
      <w:pPr>
        <w:spacing w:after="0" w:line="171" w:lineRule="exact"/>
        <w:rPr>
          <w:sz w:val="20"/>
          <w:szCs w:val="20"/>
          <w:color w:val="auto"/>
        </w:rPr>
      </w:pPr>
    </w:p>
    <w:p>
      <w:pPr>
        <w:ind w:left="644"/>
        <w:spacing w:after="0" w:line="273" w:lineRule="auto"/>
        <w:rPr>
          <w:sz w:val="20"/>
          <w:szCs w:val="20"/>
          <w:color w:val="auto"/>
        </w:rPr>
      </w:pPr>
      <w:r>
        <w:rPr>
          <w:rFonts w:ascii="Arial" w:cs="Arial" w:eastAsia="Arial" w:hAnsi="Arial"/>
          <w:sz w:val="17"/>
          <w:szCs w:val="17"/>
          <w:color w:val="auto"/>
        </w:rPr>
        <w:t>Fair value is a market-based measurement, not an entity-specific measurement. Therefore, a fair value measurement is determined based on the assumptions that market participants would use in pricing the asset or liability. As a basis for considering market participant assumptions in fair value measurements, the Company uses a fair value hierarchy that distinguishes between market participant assumptions based on market data obtained from independent sources (observable inputs that are classified within Levels 1 and 2 of the hierarchy) and the Company's own assumptions about market participant assumptions (unobservable inputs classified within Level 3 of the hierarchy). The three levels of inputs used to measure fair value are as follows:</w:t>
      </w:r>
    </w:p>
    <w:p>
      <w:pPr>
        <w:spacing w:after="0" w:line="341" w:lineRule="exact"/>
        <w:rPr>
          <w:sz w:val="20"/>
          <w:szCs w:val="20"/>
          <w:color w:val="auto"/>
        </w:rPr>
      </w:pPr>
    </w:p>
    <w:p>
      <w:pPr>
        <w:ind w:left="1304" w:hanging="655"/>
        <w:spacing w:after="0"/>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Company has the ability to access.</w:t>
      </w:r>
    </w:p>
    <w:p>
      <w:pPr>
        <w:spacing w:after="0" w:line="46" w:lineRule="exact"/>
        <w:rPr>
          <w:rFonts w:ascii="Arial" w:cs="Arial" w:eastAsia="Arial" w:hAnsi="Arial"/>
          <w:sz w:val="16"/>
          <w:szCs w:val="16"/>
          <w:color w:val="auto"/>
        </w:rPr>
      </w:pPr>
    </w:p>
    <w:p>
      <w:pPr>
        <w:ind w:left="1304" w:right="700" w:hanging="655"/>
        <w:spacing w:after="0" w:line="250" w:lineRule="auto"/>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in Level 1 that are observable for the asset or liability, either directly or indirectly.</w:t>
      </w:r>
    </w:p>
    <w:p>
      <w:pPr>
        <w:ind w:left="1304" w:right="220" w:hanging="655"/>
        <w:spacing w:after="0" w:line="261" w:lineRule="auto"/>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which are typically based on the Company's own assumptions, as there is little, if any, related market activity.</w:t>
      </w:r>
    </w:p>
    <w:p>
      <w:pPr>
        <w:spacing w:after="0" w:line="130" w:lineRule="exact"/>
        <w:rPr>
          <w:sz w:val="20"/>
          <w:szCs w:val="20"/>
          <w:color w:val="auto"/>
        </w:rPr>
      </w:pPr>
    </w:p>
    <w:p>
      <w:pPr>
        <w:ind w:left="644" w:right="140"/>
        <w:spacing w:after="0" w:line="277" w:lineRule="auto"/>
        <w:rPr>
          <w:sz w:val="20"/>
          <w:szCs w:val="20"/>
          <w:color w:val="auto"/>
        </w:rPr>
      </w:pPr>
      <w:r>
        <w:rPr>
          <w:rFonts w:ascii="Arial" w:cs="Arial" w:eastAsia="Arial" w:hAnsi="Arial"/>
          <w:sz w:val="18"/>
          <w:szCs w:val="18"/>
          <w:color w:val="auto"/>
        </w:rPr>
        <w:t>The Company also remeasures nonfinancial assets and nonfinancial liabilities, initially measured at fair value in a business combination or other new basis event, at fair value in subsequent periods.</w:t>
      </w:r>
    </w:p>
    <w:p>
      <w:pPr>
        <w:spacing w:after="0" w:line="333" w:lineRule="exact"/>
        <w:rPr>
          <w:sz w:val="20"/>
          <w:szCs w:val="20"/>
          <w:color w:val="auto"/>
        </w:rPr>
      </w:pPr>
    </w:p>
    <w:p>
      <w:pPr>
        <w:ind w:left="644" w:right="7700" w:hanging="644"/>
        <w:spacing w:after="0" w:line="510" w:lineRule="auto"/>
        <w:tabs>
          <w:tab w:leader="none" w:pos="4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Recent Accounting Pronouncements </w:t>
      </w:r>
      <w:r>
        <w:rPr>
          <w:rFonts w:ascii="Arial" w:cs="Arial" w:eastAsia="Arial" w:hAnsi="Arial"/>
          <w:sz w:val="16"/>
          <w:szCs w:val="16"/>
          <w:i w:val="1"/>
          <w:iCs w:val="1"/>
          <w:color w:val="auto"/>
        </w:rPr>
        <w:t>Recently Adopted</w:t>
      </w:r>
    </w:p>
    <w:p>
      <w:pPr>
        <w:spacing w:after="0" w:line="1" w:lineRule="exact"/>
        <w:rPr>
          <w:sz w:val="20"/>
          <w:szCs w:val="20"/>
          <w:color w:val="auto"/>
        </w:rPr>
      </w:pPr>
    </w:p>
    <w:p>
      <w:pPr>
        <w:ind w:left="644"/>
        <w:spacing w:after="0" w:line="255" w:lineRule="auto"/>
        <w:rPr>
          <w:sz w:val="20"/>
          <w:szCs w:val="20"/>
          <w:color w:val="auto"/>
        </w:rPr>
      </w:pPr>
      <w:r>
        <w:rPr>
          <w:rFonts w:ascii="Arial" w:cs="Arial" w:eastAsia="Arial" w:hAnsi="Arial"/>
          <w:sz w:val="18"/>
          <w:szCs w:val="18"/>
          <w:color w:val="auto"/>
        </w:rPr>
        <w:t>On January 1, 2012, the Company adopted Financial Accounting Standards Board ("FASB") Accounting Standards Update (“ASU”) No. 2011-04, "Fair Value Measurement (Topic 820): Amendments to Achieve Common Fair Value Measurement and Disclosure requirements in U.S. GAAP and IFRSs" ("ASU 2011-04"). ASU 2011-04 provides new guidance concerning fair value measurements and disclosure. The new guidance is the result of joint efforts by the FASB and the International Accounting Standards Board ("IASB") to develop a single, converged fair value framework on how to measure fair value and the necessary disclosures concerning fair value measurements. The guidance is applied prospectively. The adoption by the Company resulted in expanded disclosures over fair value measurements, included in note 6.</w:t>
      </w:r>
    </w:p>
    <w:p>
      <w:pPr>
        <w:spacing w:after="0" w:line="149" w:lineRule="exact"/>
        <w:rPr>
          <w:sz w:val="20"/>
          <w:szCs w:val="20"/>
          <w:color w:val="auto"/>
        </w:rPr>
      </w:pPr>
    </w:p>
    <w:p>
      <w:pPr>
        <w:ind w:left="644" w:right="60"/>
        <w:spacing w:after="0" w:line="273" w:lineRule="auto"/>
        <w:rPr>
          <w:sz w:val="20"/>
          <w:szCs w:val="20"/>
          <w:color w:val="auto"/>
        </w:rPr>
      </w:pPr>
      <w:r>
        <w:rPr>
          <w:rFonts w:ascii="Arial" w:cs="Arial" w:eastAsia="Arial" w:hAnsi="Arial"/>
          <w:sz w:val="17"/>
          <w:szCs w:val="17"/>
          <w:color w:val="auto"/>
        </w:rPr>
        <w:t>On January 1, 2012, the Company adopted FASB ASU No. 2011-05, "Comprehensive Income (Topic 220): Presentation of Comprehensive Income" ("ASU 2011-05"). ASU 2011-05 revised guidance over the manner in which entities present comprehensive income in the financial statements. This guidance removes the previous presentation options and provides that entities must report comprehensive income in either a continuous statement of comprehensive income or two separate but consecutive statements. This guidance does not change the items that must be reported in other comprehensive income. The adoption by the Company resulted in a new Statement of Comprehensive Income (Loss), presented immediately following the Statements of Operations.</w:t>
      </w:r>
    </w:p>
    <w:p>
      <w:pPr>
        <w:spacing w:after="0" w:line="3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764"/>
          </w:cols>
          <w:pgMar w:left="896" w:top="121" w:right="239" w:bottom="1440" w:gutter="0" w:footer="0" w:header="0"/>
        </w:sectPr>
      </w:pPr>
    </w:p>
    <w:bookmarkStart w:id="93" w:name="page94"/>
    <w:bookmarkEnd w:id="93"/>
    <w:p>
      <w:pPr>
        <w:jc w:val="center"/>
        <w:ind w:right="6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spacing w:after="0" w:line="289" w:lineRule="auto"/>
        <w:rPr>
          <w:sz w:val="20"/>
          <w:szCs w:val="20"/>
          <w:color w:val="auto"/>
        </w:rPr>
      </w:pPr>
      <w:r>
        <w:rPr>
          <w:rFonts w:ascii="Arial" w:cs="Arial" w:eastAsia="Arial" w:hAnsi="Arial"/>
          <w:sz w:val="16"/>
          <w:szCs w:val="16"/>
          <w:color w:val="auto"/>
        </w:rPr>
        <w:t>In February 2013, the FASB issued ASU No. 2013-02, "Reporting of Amounts Reclassified Out of Accumulated Other Comprehensive Income" ("ASU 2013-02"). ASU 2013-02 does not change the current requirements for reporting net income or other comprehensive income in financial statements. This ASU requires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an entity is required to cross-reference to other disclosures required under U.S. GAAP that provide additional detail about those amounts. This guidance is effective prospectively for reporting periods beginning after December 15, 2012 and early adoption is permitted. The Company has adopted this guidance as of December 31, 2012. The adoption by the Company did not have any impact on our financial results, rather resulted in adding parenthetical cross-references in our Consolidated Statements of Operations to related footnote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Recently Issued But Not Yet Adopted</w:t>
      </w:r>
    </w:p>
    <w:p>
      <w:pPr>
        <w:spacing w:after="0" w:line="185"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In December 2011, the FASB issued ASU No. 2011-11, "Disclosures about Offsetting Assets and Liabilities" ("ASU 2011-11"). ASU 2011-11 requires disclosures to allow investors to better compare financial statements prepared under U.S. GAAP with financial statements prepared under IFRS. The FASB expects to issue an ASU to clarify that the scope of the new disclosures is intended to be limited to derivative instruments, repurchase and reverse repurchase agreements, and securities lending arrangements. This guidance is effective for annual periods beginning January 1, 2013, and interim periods within those annual periods. Retrospective application is required. The Company does not expect this ASU to have a material effect on the Company's consolidated financial statements, rather will result in additional disclosures.</w:t>
      </w:r>
    </w:p>
    <w:p>
      <w:pPr>
        <w:spacing w:after="0" w:line="3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Reclassifications and other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prior period amounts have been reclassified to conform to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40"/>
          </w:cols>
          <w:pgMar w:left="900" w:top="121" w:right="259" w:bottom="1440" w:gutter="0" w:footer="0" w:header="0"/>
        </w:sectPr>
      </w:pPr>
    </w:p>
    <w:bookmarkStart w:id="94" w:name="page95"/>
    <w:bookmarkEnd w:id="94"/>
    <w:p>
      <w:pPr>
        <w:jc w:val="center"/>
        <w:ind w:right="8"/>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52" w:right="9040" w:hanging="652"/>
        <w:spacing w:after="0" w:line="573" w:lineRule="auto"/>
        <w:tabs>
          <w:tab w:leader="none" w:pos="652"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Real Estate Investments </w:t>
      </w:r>
      <w:r>
        <w:rPr>
          <w:rFonts w:ascii="Arial" w:cs="Arial" w:eastAsia="Arial" w:hAnsi="Arial"/>
          <w:sz w:val="15"/>
          <w:szCs w:val="15"/>
          <w:i w:val="1"/>
          <w:iCs w:val="1"/>
          <w:color w:val="auto"/>
        </w:rPr>
        <w:t>Acquisitions</w:t>
      </w:r>
    </w:p>
    <w:p>
      <w:pPr>
        <w:ind w:left="652"/>
        <w:spacing w:after="0"/>
        <w:rPr>
          <w:rFonts w:ascii="Arial" w:cs="Arial" w:eastAsia="Arial" w:hAnsi="Arial"/>
          <w:sz w:val="15"/>
          <w:szCs w:val="15"/>
          <w:color w:val="auto"/>
        </w:rPr>
      </w:pPr>
      <w:r>
        <w:rPr>
          <w:rFonts w:ascii="Arial" w:cs="Arial" w:eastAsia="Arial" w:hAnsi="Arial"/>
          <w:sz w:val="18"/>
          <w:szCs w:val="18"/>
          <w:color w:val="auto"/>
        </w:rPr>
        <w:t>The following table provides a summary of shopping centers acquired during the year ended December 31, 2012 (in thousands):</w:t>
      </w:r>
    </w:p>
    <w:p>
      <w:pPr>
        <w:spacing w:after="0" w:line="347" w:lineRule="exact"/>
        <w:rPr>
          <w:sz w:val="20"/>
          <w:szCs w:val="20"/>
          <w:color w:val="auto"/>
        </w:rPr>
      </w:pPr>
    </w:p>
    <w:tbl>
      <w:tblPr>
        <w:tblLayout w:type="fixed"/>
        <w:tblInd w:w="652"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Debt</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52"/>
              <w:spacing w:after="0"/>
              <w:rPr>
                <w:sz w:val="20"/>
                <w:szCs w:val="20"/>
                <w:color w:val="auto"/>
              </w:rPr>
            </w:pPr>
            <w:r>
              <w:rPr>
                <w:rFonts w:ascii="Arial" w:cs="Arial" w:eastAsia="Arial" w:hAnsi="Arial"/>
                <w:sz w:val="16"/>
                <w:szCs w:val="16"/>
                <w:b w:val="1"/>
                <w:bCs w:val="1"/>
                <w:color w:val="auto"/>
              </w:rPr>
              <w:t>Purchase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Assumed, Net</w:t>
            </w:r>
          </w:p>
        </w:tc>
        <w:tc>
          <w:tcPr>
            <w:tcW w:w="1060" w:type="dxa"/>
            <w:vAlign w:val="bottom"/>
          </w:tcPr>
          <w:p>
            <w:pPr>
              <w:jc w:val="right"/>
              <w:ind w:right="132"/>
              <w:spacing w:after="0"/>
              <w:rPr>
                <w:sz w:val="20"/>
                <w:szCs w:val="20"/>
                <w:color w:val="auto"/>
              </w:rPr>
            </w:pPr>
            <w:r>
              <w:rPr>
                <w:rFonts w:ascii="Arial" w:cs="Arial" w:eastAsia="Arial" w:hAnsi="Arial"/>
                <w:sz w:val="16"/>
                <w:szCs w:val="16"/>
                <w:b w:val="1"/>
                <w:bCs w:val="1"/>
                <w:color w:val="auto"/>
              </w:rPr>
              <w:t>Intangible</w:t>
            </w:r>
          </w:p>
        </w:tc>
        <w:tc>
          <w:tcPr>
            <w:tcW w:w="1020" w:type="dxa"/>
            <w:vAlign w:val="bottom"/>
          </w:tcPr>
          <w:p>
            <w:pPr>
              <w:jc w:val="right"/>
              <w:ind w:right="92"/>
              <w:spacing w:after="0"/>
              <w:rPr>
                <w:sz w:val="20"/>
                <w:szCs w:val="20"/>
                <w:color w:val="auto"/>
              </w:rPr>
            </w:pPr>
            <w:r>
              <w:rPr>
                <w:rFonts w:ascii="Arial" w:cs="Arial" w:eastAsia="Arial" w:hAnsi="Arial"/>
                <w:sz w:val="16"/>
                <w:szCs w:val="16"/>
                <w:b w:val="1"/>
                <w:bCs w:val="1"/>
                <w:color w:val="auto"/>
              </w:rPr>
              <w:t>Intangible</w:t>
            </w: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auto"/>
              </w:rPr>
              <w:t>Contingent</w:t>
            </w:r>
          </w:p>
        </w:tc>
      </w:tr>
      <w:tr>
        <w:trPr>
          <w:trHeight w:val="243"/>
        </w:trPr>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0"/>
              </w:rPr>
              <w:t>Date Purchased</w:t>
            </w: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Property Name</w:t>
            </w:r>
          </w:p>
        </w:tc>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City/State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Price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of Premiums</w:t>
            </w: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Assets</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Liabilities</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8"/>
              </w:rPr>
              <w:t xml:space="preserve">Liabilities </w:t>
            </w:r>
            <w:r>
              <w:rPr>
                <w:rFonts w:ascii="Arial" w:cs="Arial" w:eastAsia="Arial" w:hAnsi="Arial"/>
                <w:sz w:val="21"/>
                <w:szCs w:val="21"/>
                <w:b w:val="1"/>
                <w:bCs w:val="1"/>
                <w:color w:val="auto"/>
                <w:w w:val="98"/>
                <w:vertAlign w:val="superscript"/>
              </w:rPr>
              <w:t>(1)</w:t>
            </w:r>
          </w:p>
        </w:tc>
      </w:tr>
      <w:tr>
        <w:trPr>
          <w:trHeight w:val="264"/>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5/31/2012</w:t>
            </w:r>
          </w:p>
        </w:tc>
        <w:tc>
          <w:tcPr>
            <w:tcW w:w="24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Shops at Erwin Mill </w:t>
            </w:r>
            <w:r>
              <w:rPr>
                <w:rFonts w:ascii="Arial" w:cs="Arial" w:eastAsia="Arial" w:hAnsi="Arial"/>
                <w:sz w:val="25"/>
                <w:szCs w:val="25"/>
                <w:color w:val="auto"/>
                <w:vertAlign w:val="superscript"/>
              </w:rPr>
              <w:t>(2)</w:t>
            </w: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Durham, NC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6/21/2012</w:t>
            </w:r>
          </w:p>
        </w:tc>
        <w:tc>
          <w:tcPr>
            <w:tcW w:w="2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Grand Ridge Plaza </w:t>
            </w:r>
            <w:r>
              <w:rPr>
                <w:rFonts w:ascii="Arial" w:cs="Arial" w:eastAsia="Arial" w:hAnsi="Arial"/>
                <w:sz w:val="25"/>
                <w:szCs w:val="25"/>
                <w:color w:val="auto"/>
                <w:vertAlign w:val="superscript"/>
              </w:rPr>
              <w:t>(3)</w:t>
            </w:r>
          </w:p>
        </w:tc>
        <w:tc>
          <w:tcPr>
            <w:tcW w:w="1680" w:type="dxa"/>
            <w:vAlign w:val="bottom"/>
          </w:tcPr>
          <w:p>
            <w:pPr>
              <w:ind w:left="200"/>
              <w:spacing w:after="0"/>
              <w:rPr>
                <w:sz w:val="20"/>
                <w:szCs w:val="20"/>
                <w:color w:val="auto"/>
              </w:rPr>
            </w:pPr>
            <w:r>
              <w:rPr>
                <w:rFonts w:ascii="Arial" w:cs="Arial" w:eastAsia="Arial" w:hAnsi="Arial"/>
                <w:sz w:val="18"/>
                <w:szCs w:val="18"/>
                <w:color w:val="auto"/>
              </w:rPr>
              <w:t>Issaquah, WA</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11,761</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12,810</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2,346</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8/31/2012</w:t>
            </w:r>
          </w:p>
        </w:tc>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Balboa Mesa Shopping Center</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San Diego, CA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9,711</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6,977</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43"/>
        </w:trPr>
        <w:tc>
          <w:tcPr>
            <w:tcW w:w="1180" w:type="dxa"/>
            <w:vAlign w:val="bottom"/>
          </w:tcPr>
          <w:p>
            <w:pPr>
              <w:ind w:left="40"/>
              <w:spacing w:after="0"/>
              <w:rPr>
                <w:sz w:val="20"/>
                <w:szCs w:val="20"/>
                <w:color w:val="auto"/>
              </w:rPr>
            </w:pPr>
            <w:r>
              <w:rPr>
                <w:rFonts w:ascii="Arial" w:cs="Arial" w:eastAsia="Arial" w:hAnsi="Arial"/>
                <w:sz w:val="18"/>
                <w:szCs w:val="18"/>
                <w:color w:val="auto"/>
              </w:rPr>
              <w:t>12/21/2012</w:t>
            </w:r>
          </w:p>
        </w:tc>
        <w:tc>
          <w:tcPr>
            <w:tcW w:w="2440" w:type="dxa"/>
            <w:vAlign w:val="bottom"/>
          </w:tcPr>
          <w:p>
            <w:pPr>
              <w:ind w:left="40"/>
              <w:spacing w:after="0"/>
              <w:rPr>
                <w:sz w:val="20"/>
                <w:szCs w:val="20"/>
                <w:color w:val="auto"/>
              </w:rPr>
            </w:pPr>
            <w:r>
              <w:rPr>
                <w:rFonts w:ascii="Arial" w:cs="Arial" w:eastAsia="Arial" w:hAnsi="Arial"/>
                <w:sz w:val="18"/>
                <w:szCs w:val="18"/>
                <w:color w:val="auto"/>
              </w:rPr>
              <w:t>Sandy Springs</w:t>
            </w:r>
          </w:p>
        </w:tc>
        <w:tc>
          <w:tcPr>
            <w:tcW w:w="1680" w:type="dxa"/>
            <w:vAlign w:val="bottom"/>
          </w:tcPr>
          <w:p>
            <w:pPr>
              <w:ind w:left="200"/>
              <w:spacing w:after="0"/>
              <w:rPr>
                <w:sz w:val="20"/>
                <w:szCs w:val="20"/>
                <w:color w:val="auto"/>
              </w:rPr>
            </w:pPr>
            <w:r>
              <w:rPr>
                <w:rFonts w:ascii="Arial" w:cs="Arial" w:eastAsia="Arial" w:hAnsi="Arial"/>
                <w:sz w:val="18"/>
                <w:szCs w:val="18"/>
                <w:color w:val="auto"/>
                <w:w w:val="95"/>
              </w:rPr>
              <w:t>Sandy Springs, GA</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35,250</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17,657</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2,761</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1,386</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12/27/2012</w:t>
            </w:r>
          </w:p>
        </w:tc>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Uptown District</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San Diego, CA</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81,115</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5,833</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4,058</w:t>
            </w:r>
          </w:p>
        </w:tc>
      </w:tr>
      <w:tr>
        <w:trPr>
          <w:trHeight w:val="257"/>
        </w:trPr>
        <w:tc>
          <w:tcPr>
            <w:tcW w:w="11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187,984</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30,467</w:t>
            </w:r>
          </w:p>
        </w:tc>
        <w:tc>
          <w:tcPr>
            <w:tcW w:w="10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20,651</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9,661</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4,263</w:t>
            </w:r>
          </w:p>
        </w:tc>
      </w:tr>
      <w:tr>
        <w:trPr>
          <w:trHeight w:val="20"/>
        </w:trPr>
        <w:tc>
          <w:tcPr>
            <w:tcW w:w="1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832" w:hanging="184"/>
        <w:spacing w:after="0"/>
        <w:tabs>
          <w:tab w:leader="none" w:pos="832"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These balances represent environmental liability contingencies, which were measured at fair value at the acquisition date.</w:t>
      </w:r>
    </w:p>
    <w:p>
      <w:pPr>
        <w:spacing w:after="0" w:line="1" w:lineRule="exact"/>
        <w:rPr>
          <w:rFonts w:ascii="Arial" w:cs="Arial" w:eastAsia="Arial" w:hAnsi="Arial"/>
          <w:sz w:val="22"/>
          <w:szCs w:val="22"/>
          <w:color w:val="auto"/>
          <w:vertAlign w:val="superscript"/>
        </w:rPr>
      </w:pPr>
    </w:p>
    <w:p>
      <w:pPr>
        <w:ind w:left="652" w:right="20" w:hanging="4"/>
        <w:spacing w:after="0" w:line="249" w:lineRule="auto"/>
        <w:tabs>
          <w:tab w:leader="none" w:pos="83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Shops at Erwin Mill was acquired on May 31, 2012 for a total purchase price of $5.8 million and included both an operating component and a development component. The Company completed a purchase price allocation at the date of acquisition and determined that approximately $358,000 related to the existing operating center, with the remaining balance allocated to properties in development at the time of acquisition.</w:t>
      </w:r>
    </w:p>
    <w:p>
      <w:pPr>
        <w:spacing w:after="0" w:line="2" w:lineRule="exact"/>
        <w:rPr>
          <w:rFonts w:ascii="Arial" w:cs="Arial" w:eastAsia="Arial" w:hAnsi="Arial"/>
          <w:sz w:val="22"/>
          <w:szCs w:val="22"/>
          <w:color w:val="auto"/>
          <w:vertAlign w:val="superscript"/>
        </w:rPr>
      </w:pPr>
    </w:p>
    <w:p>
      <w:pPr>
        <w:ind w:left="652" w:right="100" w:hanging="4"/>
        <w:spacing w:after="0" w:line="255" w:lineRule="auto"/>
        <w:tabs>
          <w:tab w:leader="none" w:pos="83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Grand Ridge Plaza was acquired on June 21, 2012 for a total purchase price of $20.0 million and included both an operating component and a development component. The Company completed a purchase price allocation at the date of acquisition and determined that $11.8 million related to the existing operating center, with the remaining balance allocated to properties in development at the time of acquisition.</w:t>
      </w:r>
    </w:p>
    <w:p>
      <w:pPr>
        <w:spacing w:after="0" w:line="13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provides a summary of shopping centers acquired during the year ended December 31, 2011 (in thousands):</w:t>
      </w:r>
    </w:p>
    <w:p>
      <w:pPr>
        <w:spacing w:after="0" w:line="172" w:lineRule="exact"/>
        <w:rPr>
          <w:sz w:val="20"/>
          <w:szCs w:val="20"/>
          <w:color w:val="auto"/>
        </w:rPr>
      </w:pPr>
    </w:p>
    <w:p>
      <w:pPr>
        <w:ind w:left="7412"/>
        <w:spacing w:after="0"/>
        <w:rPr>
          <w:sz w:val="20"/>
          <w:szCs w:val="20"/>
          <w:color w:val="auto"/>
        </w:rPr>
      </w:pPr>
      <w:r>
        <w:rPr>
          <w:rFonts w:ascii="Arial" w:cs="Arial" w:eastAsia="Arial" w:hAnsi="Arial"/>
          <w:sz w:val="16"/>
          <w:szCs w:val="16"/>
          <w:b w:val="1"/>
          <w:bCs w:val="1"/>
          <w:color w:val="auto"/>
        </w:rPr>
        <w:t>Debt</w:t>
      </w:r>
    </w:p>
    <w:p>
      <w:pPr>
        <w:spacing w:after="0" w:line="26" w:lineRule="exact"/>
        <w:rPr>
          <w:sz w:val="20"/>
          <w:szCs w:val="20"/>
          <w:color w:val="auto"/>
        </w:rPr>
      </w:pPr>
    </w:p>
    <w:p>
      <w:pPr>
        <w:ind w:left="6172"/>
        <w:spacing w:after="0"/>
        <w:tabs>
          <w:tab w:leader="none" w:pos="7072" w:val="left"/>
          <w:tab w:leader="none" w:pos="8272" w:val="left"/>
          <w:tab w:leader="none" w:pos="9332" w:val="left"/>
          <w:tab w:leader="none" w:pos="10412" w:val="left"/>
        </w:tabs>
        <w:rPr>
          <w:sz w:val="20"/>
          <w:szCs w:val="20"/>
          <w:color w:val="auto"/>
        </w:rPr>
      </w:pPr>
      <w:r>
        <w:rPr>
          <w:rFonts w:ascii="Arial" w:cs="Arial" w:eastAsia="Arial" w:hAnsi="Arial"/>
          <w:sz w:val="16"/>
          <w:szCs w:val="16"/>
          <w:b w:val="1"/>
          <w:bCs w:val="1"/>
          <w:color w:val="auto"/>
        </w:rPr>
        <w:t>Purchase</w:t>
      </w:r>
      <w:r>
        <w:rPr>
          <w:sz w:val="20"/>
          <w:szCs w:val="20"/>
          <w:color w:val="auto"/>
        </w:rPr>
        <w:tab/>
      </w:r>
      <w:r>
        <w:rPr>
          <w:rFonts w:ascii="Arial" w:cs="Arial" w:eastAsia="Arial" w:hAnsi="Arial"/>
          <w:sz w:val="16"/>
          <w:szCs w:val="16"/>
          <w:b w:val="1"/>
          <w:bCs w:val="1"/>
          <w:color w:val="auto"/>
        </w:rPr>
        <w:t>Assumed, Net</w:t>
        <w:tab/>
        <w:t>Intangible</w:t>
      </w:r>
      <w:r>
        <w:rPr>
          <w:sz w:val="20"/>
          <w:szCs w:val="20"/>
          <w:color w:val="auto"/>
        </w:rPr>
        <w:tab/>
      </w:r>
      <w:r>
        <w:rPr>
          <w:rFonts w:ascii="Arial" w:cs="Arial" w:eastAsia="Arial" w:hAnsi="Arial"/>
          <w:sz w:val="16"/>
          <w:szCs w:val="16"/>
          <w:b w:val="1"/>
          <w:bCs w:val="1"/>
          <w:color w:val="auto"/>
        </w:rPr>
        <w:t>Intangible</w:t>
      </w:r>
      <w:r>
        <w:rPr>
          <w:sz w:val="20"/>
          <w:szCs w:val="20"/>
          <w:color w:val="auto"/>
        </w:rPr>
        <w:tab/>
      </w:r>
      <w:r>
        <w:rPr>
          <w:rFonts w:ascii="Arial" w:cs="Arial" w:eastAsia="Arial" w:hAnsi="Arial"/>
          <w:sz w:val="14"/>
          <w:szCs w:val="14"/>
          <w:b w:val="1"/>
          <w:bCs w:val="1"/>
          <w:color w:val="auto"/>
        </w:rPr>
        <w:t>Contingent</w:t>
      </w:r>
    </w:p>
    <w:p>
      <w:pPr>
        <w:spacing w:after="0" w:line="19" w:lineRule="exact"/>
        <w:rPr>
          <w:sz w:val="20"/>
          <w:szCs w:val="20"/>
          <w:color w:val="auto"/>
        </w:rPr>
      </w:pPr>
    </w:p>
    <w:p>
      <w:pPr>
        <w:ind w:left="712"/>
        <w:spacing w:after="0"/>
        <w:tabs>
          <w:tab w:leader="none" w:pos="2472" w:val="left"/>
          <w:tab w:leader="none" w:pos="4612" w:val="left"/>
          <w:tab w:leader="none" w:pos="6292" w:val="left"/>
          <w:tab w:leader="none" w:pos="7112" w:val="left"/>
          <w:tab w:leader="none" w:pos="8412" w:val="left"/>
          <w:tab w:leader="none" w:pos="9352" w:val="left"/>
          <w:tab w:leader="none" w:pos="10452" w:val="left"/>
        </w:tabs>
        <w:rPr>
          <w:sz w:val="20"/>
          <w:szCs w:val="20"/>
          <w:color w:val="auto"/>
        </w:rPr>
      </w:pPr>
      <w:r>
        <w:rPr>
          <w:rFonts w:ascii="Arial" w:cs="Arial" w:eastAsia="Arial" w:hAnsi="Arial"/>
          <w:sz w:val="16"/>
          <w:szCs w:val="16"/>
          <w:b w:val="1"/>
          <w:bCs w:val="1"/>
          <w:color w:val="auto"/>
        </w:rPr>
        <w:t>Date Purchased</w:t>
      </w:r>
      <w:r>
        <w:rPr>
          <w:sz w:val="20"/>
          <w:szCs w:val="20"/>
          <w:color w:val="auto"/>
        </w:rPr>
        <w:tab/>
      </w:r>
      <w:r>
        <w:rPr>
          <w:rFonts w:ascii="Arial" w:cs="Arial" w:eastAsia="Arial" w:hAnsi="Arial"/>
          <w:sz w:val="16"/>
          <w:szCs w:val="16"/>
          <w:b w:val="1"/>
          <w:bCs w:val="1"/>
          <w:color w:val="auto"/>
        </w:rPr>
        <w:t>Property Name</w:t>
      </w:r>
      <w:r>
        <w:rPr>
          <w:sz w:val="20"/>
          <w:szCs w:val="20"/>
          <w:color w:val="auto"/>
        </w:rPr>
        <w:tab/>
      </w:r>
      <w:r>
        <w:rPr>
          <w:rFonts w:ascii="Arial" w:cs="Arial" w:eastAsia="Arial" w:hAnsi="Arial"/>
          <w:sz w:val="16"/>
          <w:szCs w:val="16"/>
          <w:b w:val="1"/>
          <w:bCs w:val="1"/>
          <w:color w:val="auto"/>
        </w:rPr>
        <w:t>City/State</w:t>
      </w:r>
      <w:r>
        <w:rPr>
          <w:sz w:val="20"/>
          <w:szCs w:val="20"/>
          <w:color w:val="auto"/>
        </w:rPr>
        <w:tab/>
      </w:r>
      <w:r>
        <w:rPr>
          <w:rFonts w:ascii="Arial" w:cs="Arial" w:eastAsia="Arial" w:hAnsi="Arial"/>
          <w:sz w:val="16"/>
          <w:szCs w:val="16"/>
          <w:b w:val="1"/>
          <w:bCs w:val="1"/>
          <w:color w:val="auto"/>
        </w:rPr>
        <w:t>Price</w:t>
      </w:r>
      <w:r>
        <w:rPr>
          <w:sz w:val="20"/>
          <w:szCs w:val="20"/>
          <w:color w:val="auto"/>
        </w:rPr>
        <w:tab/>
      </w:r>
      <w:r>
        <w:rPr>
          <w:rFonts w:ascii="Arial" w:cs="Arial" w:eastAsia="Arial" w:hAnsi="Arial"/>
          <w:sz w:val="16"/>
          <w:szCs w:val="16"/>
          <w:b w:val="1"/>
          <w:bCs w:val="1"/>
          <w:color w:val="auto"/>
        </w:rPr>
        <w:t>of Premiums</w:t>
      </w:r>
      <w:r>
        <w:rPr>
          <w:sz w:val="20"/>
          <w:szCs w:val="20"/>
          <w:color w:val="auto"/>
        </w:rPr>
        <w:tab/>
      </w:r>
      <w:r>
        <w:rPr>
          <w:rFonts w:ascii="Arial" w:cs="Arial" w:eastAsia="Arial" w:hAnsi="Arial"/>
          <w:sz w:val="16"/>
          <w:szCs w:val="16"/>
          <w:b w:val="1"/>
          <w:bCs w:val="1"/>
          <w:color w:val="auto"/>
        </w:rPr>
        <w:t>Assets</w:t>
      </w:r>
      <w:r>
        <w:rPr>
          <w:sz w:val="20"/>
          <w:szCs w:val="20"/>
          <w:color w:val="auto"/>
        </w:rPr>
        <w:tab/>
      </w:r>
      <w:r>
        <w:rPr>
          <w:rFonts w:ascii="Arial" w:cs="Arial" w:eastAsia="Arial" w:hAnsi="Arial"/>
          <w:sz w:val="16"/>
          <w:szCs w:val="16"/>
          <w:b w:val="1"/>
          <w:bCs w:val="1"/>
          <w:color w:val="auto"/>
        </w:rPr>
        <w:t>Liabilities</w:t>
      </w:r>
      <w:r>
        <w:rPr>
          <w:sz w:val="20"/>
          <w:szCs w:val="20"/>
          <w:color w:val="auto"/>
        </w:rPr>
        <w:tab/>
      </w:r>
      <w:r>
        <w:rPr>
          <w:rFonts w:ascii="Arial" w:cs="Arial" w:eastAsia="Arial" w:hAnsi="Arial"/>
          <w:sz w:val="15"/>
          <w:szCs w:val="15"/>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33020</wp:posOffset>
            </wp:positionV>
            <wp:extent cx="682625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26250" cy="180340"/>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p>
      <w:pPr>
        <w:spacing w:after="0" w:line="78" w:lineRule="exact"/>
        <w:rPr>
          <w:sz w:val="20"/>
          <w:szCs w:val="20"/>
          <w:color w:val="auto"/>
        </w:rPr>
      </w:pPr>
    </w:p>
    <w:tbl>
      <w:tblPr>
        <w:tblLayout w:type="fixed"/>
        <w:tblInd w:w="692"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6/2/2011</w:t>
            </w:r>
          </w:p>
        </w:tc>
        <w:tc>
          <w:tcPr>
            <w:tcW w:w="2300" w:type="dxa"/>
            <w:vAlign w:val="bottom"/>
          </w:tcPr>
          <w:p>
            <w:pPr>
              <w:ind w:left="240"/>
              <w:spacing w:after="0"/>
              <w:rPr>
                <w:sz w:val="20"/>
                <w:szCs w:val="20"/>
                <w:color w:val="auto"/>
              </w:rPr>
            </w:pPr>
            <w:r>
              <w:rPr>
                <w:rFonts w:ascii="Arial" w:cs="Arial" w:eastAsia="Arial" w:hAnsi="Arial"/>
                <w:sz w:val="18"/>
                <w:szCs w:val="18"/>
                <w:color w:val="auto"/>
              </w:rPr>
              <w:t>Ocala Corners</w:t>
            </w:r>
          </w:p>
        </w:tc>
        <w:tc>
          <w:tcPr>
            <w:tcW w:w="1680" w:type="dxa"/>
            <w:vAlign w:val="bottom"/>
          </w:tcPr>
          <w:p>
            <w:pPr>
              <w:ind w:left="320"/>
              <w:spacing w:after="0"/>
              <w:rPr>
                <w:sz w:val="20"/>
                <w:szCs w:val="20"/>
                <w:color w:val="auto"/>
              </w:rPr>
            </w:pPr>
            <w:r>
              <w:rPr>
                <w:rFonts w:ascii="Arial" w:cs="Arial" w:eastAsia="Arial" w:hAnsi="Arial"/>
                <w:sz w:val="18"/>
                <w:szCs w:val="18"/>
                <w:color w:val="auto"/>
              </w:rPr>
              <w:t>Tallahassee, FL</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8/18/2011</w:t>
            </w:r>
          </w:p>
        </w:tc>
        <w:tc>
          <w:tcPr>
            <w:tcW w:w="2300" w:type="dxa"/>
            <w:vAlign w:val="bottom"/>
          </w:tcPr>
          <w:p>
            <w:pPr>
              <w:ind w:left="240"/>
              <w:spacing w:after="0"/>
              <w:rPr>
                <w:sz w:val="20"/>
                <w:szCs w:val="20"/>
                <w:color w:val="auto"/>
              </w:rPr>
            </w:pPr>
            <w:r>
              <w:rPr>
                <w:rFonts w:ascii="Arial" w:cs="Arial" w:eastAsia="Arial" w:hAnsi="Arial"/>
                <w:sz w:val="18"/>
                <w:szCs w:val="18"/>
                <w:color w:val="auto"/>
              </w:rPr>
              <w:t>Oak Shade Town Center</w:t>
            </w:r>
          </w:p>
        </w:tc>
        <w:tc>
          <w:tcPr>
            <w:tcW w:w="1680" w:type="dxa"/>
            <w:vAlign w:val="bottom"/>
          </w:tcPr>
          <w:p>
            <w:pPr>
              <w:ind w:left="320"/>
              <w:spacing w:after="0"/>
              <w:rPr>
                <w:sz w:val="20"/>
                <w:szCs w:val="20"/>
                <w:color w:val="auto"/>
              </w:rPr>
            </w:pPr>
            <w:r>
              <w:rPr>
                <w:rFonts w:ascii="Arial" w:cs="Arial" w:eastAsia="Arial" w:hAnsi="Arial"/>
                <w:sz w:val="18"/>
                <w:szCs w:val="18"/>
                <w:color w:val="auto"/>
              </w:rPr>
              <w:t>Davis, CA</w:t>
            </w:r>
          </w:p>
        </w:tc>
        <w:tc>
          <w:tcPr>
            <w:tcW w:w="320" w:type="dxa"/>
            <w:vAlign w:val="bottom"/>
          </w:tcPr>
          <w:p>
            <w:pPr>
              <w:spacing w:after="0"/>
              <w:rPr>
                <w:sz w:val="23"/>
                <w:szCs w:val="23"/>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9/26/2011</w:t>
            </w:r>
          </w:p>
        </w:tc>
        <w:tc>
          <w:tcPr>
            <w:tcW w:w="2300" w:type="dxa"/>
            <w:vAlign w:val="bottom"/>
          </w:tcPr>
          <w:p>
            <w:pPr>
              <w:ind w:left="240"/>
              <w:spacing w:after="0"/>
              <w:rPr>
                <w:sz w:val="20"/>
                <w:szCs w:val="20"/>
                <w:color w:val="auto"/>
              </w:rPr>
            </w:pPr>
            <w:r>
              <w:rPr>
                <w:rFonts w:ascii="Arial" w:cs="Arial" w:eastAsia="Arial" w:hAnsi="Arial"/>
                <w:sz w:val="18"/>
                <w:szCs w:val="18"/>
                <w:color w:val="auto"/>
              </w:rPr>
              <w:t>Tech Ridge Center</w:t>
            </w:r>
          </w:p>
        </w:tc>
        <w:tc>
          <w:tcPr>
            <w:tcW w:w="1680" w:type="dxa"/>
            <w:vAlign w:val="bottom"/>
          </w:tcPr>
          <w:p>
            <w:pPr>
              <w:ind w:left="320"/>
              <w:spacing w:after="0"/>
              <w:rPr>
                <w:sz w:val="20"/>
                <w:szCs w:val="20"/>
                <w:color w:val="auto"/>
              </w:rPr>
            </w:pPr>
            <w:r>
              <w:rPr>
                <w:rFonts w:ascii="Arial" w:cs="Arial" w:eastAsia="Arial" w:hAnsi="Arial"/>
                <w:sz w:val="18"/>
                <w:szCs w:val="18"/>
                <w:color w:val="auto"/>
              </w:rPr>
              <w:t>Austin, TX</w:t>
            </w:r>
          </w:p>
        </w:tc>
        <w:tc>
          <w:tcPr>
            <w:tcW w:w="320" w:type="dxa"/>
            <w:vAlign w:val="bottom"/>
          </w:tcPr>
          <w:p>
            <w:pPr>
              <w:spacing w:after="0"/>
              <w:rPr>
                <w:sz w:val="23"/>
                <w:szCs w:val="23"/>
                <w:color w:val="auto"/>
              </w:rPr>
            </w:pPr>
          </w:p>
        </w:tc>
      </w:tr>
      <w:tr>
        <w:trPr>
          <w:trHeight w:val="297"/>
        </w:trPr>
        <w:tc>
          <w:tcPr>
            <w:tcW w:w="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210"/>
              <w:spacing w:after="0"/>
              <w:rPr>
                <w:sz w:val="20"/>
                <w:szCs w:val="20"/>
                <w:color w:val="auto"/>
              </w:rPr>
            </w:pPr>
            <w:r>
              <w:rPr>
                <w:rFonts w:ascii="Arial" w:cs="Arial" w:eastAsia="Arial" w:hAnsi="Arial"/>
                <w:sz w:val="18"/>
                <w:szCs w:val="18"/>
                <w:color w:val="auto"/>
              </w:rPr>
              <w:t>11,129</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5,937</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1,724</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2,558</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jc w:val="right"/>
              <w:ind w:right="210"/>
              <w:spacing w:after="0"/>
              <w:rPr>
                <w:sz w:val="20"/>
                <w:szCs w:val="20"/>
                <w:color w:val="auto"/>
              </w:rPr>
            </w:pPr>
            <w:r>
              <w:rPr>
                <w:rFonts w:ascii="Arial" w:cs="Arial" w:eastAsia="Arial" w:hAnsi="Arial"/>
                <w:sz w:val="18"/>
                <w:szCs w:val="18"/>
                <w:color w:val="auto"/>
              </w:rPr>
              <w:t>34,871</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12,456</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2,320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1,658</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jc w:val="right"/>
              <w:ind w:right="210"/>
              <w:spacing w:after="0"/>
              <w:rPr>
                <w:sz w:val="20"/>
                <w:szCs w:val="20"/>
                <w:color w:val="auto"/>
              </w:rPr>
            </w:pPr>
            <w:r>
              <w:rPr>
                <w:rFonts w:ascii="Arial" w:cs="Arial" w:eastAsia="Arial" w:hAnsi="Arial"/>
                <w:sz w:val="18"/>
                <w:szCs w:val="18"/>
                <w:color w:val="auto"/>
              </w:rPr>
              <w:t>55,400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12,899</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4,519</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936</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jc w:val="right"/>
              <w:ind w:right="210"/>
              <w:spacing w:after="0"/>
              <w:rPr>
                <w:sz w:val="20"/>
                <w:szCs w:val="20"/>
                <w:color w:val="auto"/>
              </w:rPr>
            </w:pPr>
            <w:r>
              <w:rPr>
                <w:rFonts w:ascii="Arial" w:cs="Arial" w:eastAsia="Arial" w:hAnsi="Arial"/>
                <w:sz w:val="18"/>
                <w:szCs w:val="18"/>
                <w:color w:val="auto"/>
              </w:rPr>
              <w:t>101,400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31,292</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8,563</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5,152</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-376555</wp:posOffset>
            </wp:positionV>
            <wp:extent cx="68262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262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32" w:space="20"/>
            <w:col w:w="5460"/>
          </w:cols>
          <w:pgMar w:left="248" w:top="121" w:right="239" w:bottom="1440" w:gutter="0" w:footer="0" w:header="0"/>
          <w:type w:val="continuous"/>
        </w:sectPr>
      </w:pPr>
    </w:p>
    <w:p>
      <w:pPr>
        <w:spacing w:after="0" w:line="2" w:lineRule="exact"/>
        <w:rPr>
          <w:sz w:val="20"/>
          <w:szCs w:val="20"/>
          <w:color w:val="auto"/>
        </w:rPr>
      </w:pPr>
    </w:p>
    <w:p>
      <w:pPr>
        <w:ind w:left="652" w:right="100"/>
        <w:spacing w:after="0" w:line="272" w:lineRule="auto"/>
        <w:rPr>
          <w:sz w:val="20"/>
          <w:szCs w:val="20"/>
          <w:color w:val="auto"/>
        </w:rPr>
      </w:pPr>
      <w:r>
        <w:rPr>
          <w:rFonts w:ascii="Arial" w:cs="Arial" w:eastAsia="Arial" w:hAnsi="Arial"/>
          <w:sz w:val="17"/>
          <w:szCs w:val="17"/>
          <w:color w:val="auto"/>
        </w:rPr>
        <w:t>In addition to the above shopping center acquisitions, on May 4, 2011, the Company entered into an agreement with the DESCO Group ("DESCO") to redeem its entire 16.35% interest in Macquarie CountryWide-Regency-DESCO, LLC ("MCWR-DESCO"). The agreement allowed for a distribution-in-kind ("DIK") of the assets in the co-investment partnership. The assets were distributed as 100% ownership interests to DESCO and to Regency after a selection process, as provided for by the agreement. Regency selected four assets, all in the St. Louis market. The properties which the Company received through the DIK were recorded at the carrying value of the Company's equity investment of $18.8 million. Additionally, as part of the agreement, Regency received a $5.0 million disposition fee at closing on May 4, 2011 to buyout its asset, property, and leasing management contracts, and received $1.0 million for transition services provided through 2011.</w:t>
      </w:r>
    </w:p>
    <w:p>
      <w:pPr>
        <w:spacing w:after="0" w:line="43" w:lineRule="exact"/>
        <w:rPr>
          <w:sz w:val="20"/>
          <w:szCs w:val="20"/>
          <w:color w:val="auto"/>
        </w:rPr>
      </w:pPr>
    </w:p>
    <w:p>
      <w:pPr>
        <w:ind w:left="652"/>
        <w:spacing w:after="0" w:line="264" w:lineRule="auto"/>
        <w:rPr>
          <w:sz w:val="20"/>
          <w:szCs w:val="20"/>
          <w:color w:val="auto"/>
        </w:rPr>
      </w:pPr>
      <w:r>
        <w:rPr>
          <w:rFonts w:ascii="Arial" w:cs="Arial" w:eastAsia="Arial" w:hAnsi="Arial"/>
          <w:sz w:val="18"/>
          <w:szCs w:val="18"/>
          <w:color w:val="auto"/>
        </w:rPr>
        <w:t>The acquisitions were accounted for as purchase business combinations, and the results are included in the consolidated financial statements from the date of acquisition. During the years ended December 31, 2012, 2011, and 2010, the Company expensed approximately $1.2 million, $707,000, and $448,000, respectively, of acquisition-related costs in</w:t>
      </w:r>
    </w:p>
    <w:p>
      <w:pPr>
        <w:spacing w:after="0" w:line="2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12"/>
          </w:cols>
          <w:pgMar w:left="248" w:top="121" w:right="239" w:bottom="1440" w:gutter="0" w:footer="0" w:header="0"/>
          <w:type w:val="continuous"/>
        </w:sectPr>
      </w:pPr>
    </w:p>
    <w:bookmarkStart w:id="95" w:name="page96"/>
    <w:bookmarkEnd w:id="95"/>
    <w:p>
      <w:pPr>
        <w:jc w:val="center"/>
        <w:ind w:left="280" w:right="27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52" w:right="40"/>
        <w:spacing w:after="0" w:line="264" w:lineRule="auto"/>
        <w:rPr>
          <w:sz w:val="20"/>
          <w:szCs w:val="20"/>
          <w:color w:val="auto"/>
        </w:rPr>
      </w:pPr>
      <w:r>
        <w:rPr>
          <w:rFonts w:ascii="Arial" w:cs="Arial" w:eastAsia="Arial" w:hAnsi="Arial"/>
          <w:sz w:val="18"/>
          <w:szCs w:val="18"/>
          <w:color w:val="auto"/>
        </w:rPr>
        <w:t>connection with the Company's property acquisitions, which are included in other operating expenses in the accompanying Consolidated Statements of Operations. The actual, or pro-forma, impact of the Company's acquired properties is not considered significant to the Company's operating results for the years ended December 31, 2012, 2011, and 2010.</w:t>
      </w:r>
    </w:p>
    <w:p>
      <w:pPr>
        <w:spacing w:after="0" w:line="200" w:lineRule="exact"/>
        <w:rPr>
          <w:sz w:val="20"/>
          <w:szCs w:val="20"/>
          <w:color w:val="auto"/>
        </w:rPr>
      </w:pPr>
    </w:p>
    <w:p>
      <w:pPr>
        <w:spacing w:after="0" w:line="224" w:lineRule="exact"/>
        <w:rPr>
          <w:sz w:val="20"/>
          <w:szCs w:val="20"/>
          <w:color w:val="auto"/>
        </w:rPr>
      </w:pPr>
    </w:p>
    <w:p>
      <w:pPr>
        <w:ind w:left="652" w:right="9260" w:hanging="652"/>
        <w:spacing w:after="0" w:line="563" w:lineRule="auto"/>
        <w:tabs>
          <w:tab w:leader="none" w:pos="3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Discontinued Operations </w:t>
      </w:r>
      <w:r>
        <w:rPr>
          <w:rFonts w:ascii="Arial" w:cs="Arial" w:eastAsia="Arial" w:hAnsi="Arial"/>
          <w:sz w:val="16"/>
          <w:szCs w:val="16"/>
          <w:i w:val="1"/>
          <w:iCs w:val="1"/>
          <w:color w:val="auto"/>
        </w:rPr>
        <w:t>Dispositions</w:t>
      </w:r>
    </w:p>
    <w:p>
      <w:pPr>
        <w:spacing w:after="0" w:line="1"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6"/>
          <w:szCs w:val="16"/>
          <w:color w:val="auto"/>
        </w:rPr>
        <w:t>The following table provides a summary of shopping centers disposed of during the years ended December 31, 2012, 2011, and 2010 (in thousands):</w:t>
      </w:r>
    </w:p>
    <w:p>
      <w:pPr>
        <w:spacing w:after="0" w:line="384" w:lineRule="exact"/>
        <w:rPr>
          <w:sz w:val="20"/>
          <w:szCs w:val="20"/>
          <w:color w:val="auto"/>
        </w:rPr>
      </w:pPr>
    </w:p>
    <w:tbl>
      <w:tblPr>
        <w:tblLayout w:type="fixed"/>
        <w:tblInd w:w="1612"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r>
      <w:tr>
        <w:trPr>
          <w:trHeight w:val="33"/>
        </w:trPr>
        <w:tc>
          <w:tcPr>
            <w:tcW w:w="26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73,576</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34,918</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Gain on sale of properties</w:t>
            </w: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21,855</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5,942</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7,577</w:t>
            </w:r>
          </w:p>
        </w:tc>
      </w:tr>
      <w:tr>
        <w:trPr>
          <w:trHeight w:val="27"/>
        </w:trPr>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properties sold</w:t>
            </w: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 interest sold</w:t>
            </w:r>
          </w:p>
        </w:tc>
        <w:tc>
          <w:tcPr>
            <w:tcW w:w="8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04" w:lineRule="exact"/>
        <w:rPr>
          <w:sz w:val="20"/>
          <w:szCs w:val="20"/>
          <w:color w:val="auto"/>
        </w:rPr>
      </w:pPr>
    </w:p>
    <w:p>
      <w:pPr>
        <w:ind w:left="652"/>
        <w:spacing w:after="0"/>
        <w:rPr>
          <w:sz w:val="20"/>
          <w:szCs w:val="20"/>
          <w:color w:val="auto"/>
        </w:rPr>
      </w:pPr>
      <w:r>
        <w:rPr>
          <w:rFonts w:ascii="Arial" w:cs="Arial" w:eastAsia="Arial" w:hAnsi="Arial"/>
          <w:sz w:val="17"/>
          <w:szCs w:val="17"/>
          <w:color w:val="auto"/>
        </w:rPr>
        <w:t>The following table provides a summary of revenues and expenses from properties included in discontinued operations for the years ended</w:t>
      </w:r>
    </w:p>
    <w:p>
      <w:pPr>
        <w:spacing w:after="0" w:line="3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December 31, 2012, 2011, and 2010 (in thousands):</w:t>
      </w:r>
    </w:p>
    <w:p>
      <w:pPr>
        <w:spacing w:after="0" w:line="328" w:lineRule="exact"/>
        <w:rPr>
          <w:sz w:val="20"/>
          <w:szCs w:val="20"/>
          <w:color w:val="auto"/>
        </w:rPr>
      </w:pPr>
    </w:p>
    <w:tbl>
      <w:tblPr>
        <w:tblLayout w:type="fixed"/>
        <w:tblInd w:w="1612"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3,423</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19,374</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1,750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11,553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70"/>
        </w:trPr>
        <w:tc>
          <w:tcPr>
            <w:tcW w:w="3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25"/>
                <w:szCs w:val="25"/>
                <w:color w:val="auto"/>
                <w:vertAlign w:val="superscript"/>
              </w:rPr>
              <w:t>(1)</w:t>
            </w:r>
          </w:p>
        </w:tc>
        <w:tc>
          <w:tcPr>
            <w:tcW w:w="4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from discontinued</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1,691</w:t>
            </w:r>
          </w:p>
        </w:tc>
        <w:tc>
          <w:tcPr>
            <w:tcW w:w="1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6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792" w:right="1980" w:hanging="9"/>
        <w:spacing w:after="0" w:line="238" w:lineRule="auto"/>
        <w:tabs>
          <w:tab w:leader="none" w:pos="1996"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operating income and gain on sales of properties included in discontinued operations are reported net of income taxes, if the property is sold by Regency Realty Group, Inc., a wholly owned subsidiary of the Operating Partnership, which is a Taxable REIT subsidiary as defined by in Section 856(1) of the Internal Revenue Code.</w:t>
      </w:r>
    </w:p>
    <w:p>
      <w:pPr>
        <w:spacing w:after="0" w:line="214" w:lineRule="exact"/>
        <w:rPr>
          <w:rFonts w:ascii="Arial" w:cs="Arial" w:eastAsia="Arial" w:hAnsi="Arial"/>
          <w:sz w:val="14"/>
          <w:szCs w:val="14"/>
          <w:color w:val="auto"/>
        </w:rPr>
      </w:pPr>
    </w:p>
    <w:p>
      <w:pPr>
        <w:ind w:left="652" w:hanging="652"/>
        <w:spacing w:after="0"/>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in Real Estate Partnerships</w:t>
      </w:r>
    </w:p>
    <w:p>
      <w:pPr>
        <w:spacing w:after="0" w:line="225" w:lineRule="exact"/>
        <w:rPr>
          <w:rFonts w:ascii="Arial" w:cs="Arial" w:eastAsia="Arial" w:hAnsi="Arial"/>
          <w:sz w:val="18"/>
          <w:szCs w:val="18"/>
          <w:color w:val="auto"/>
        </w:rPr>
      </w:pPr>
    </w:p>
    <w:p>
      <w:pPr>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Company invests in real estate partnerships, which primarily include six co-investment partners and a closed-end real estate fund (“Regency Retail Partners” or the “Fund”). In addition to earning its pro-rata share of net income or loss in each of these real estate partnerships, the Company received recurring market-based fees for asset management, property management, and leasing as well as fees for investment and financing services, of $25.4 million, $29.0 million, and $25.1 million for the years ended December 31, 2012, 2011, and 2010, respectively. The Company also received non-recurring transaction fees of $5.0 million and $2.6 million for the years ended December 31, 2011 and 2010, respectively, with no such fees received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-1548765</wp:posOffset>
            </wp:positionV>
            <wp:extent cx="30016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72"/>
          </w:cols>
          <w:pgMar w:left="248" w:top="121" w:right="279" w:bottom="1440" w:gutter="0" w:footer="0" w:header="0"/>
        </w:sectPr>
      </w:pPr>
    </w:p>
    <w:bookmarkStart w:id="96" w:name="page97"/>
    <w:bookmarkEnd w:id="96"/>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partnerships as of December 31, 2012 consist of the following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The</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Company's</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 Assets of</w:t>
            </w: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Net Income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of Net</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Ownership</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the</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(Loss) of the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the</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Partnership</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Partnership</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0" w:type="dxa"/>
            <w:vAlign w:val="bottom"/>
          </w:tcPr>
          <w:p>
            <w:pPr>
              <w:spacing w:after="0"/>
              <w:rPr>
                <w:sz w:val="1"/>
                <w:szCs w:val="1"/>
                <w:color w:val="auto"/>
              </w:rPr>
            </w:pPr>
          </w:p>
        </w:tc>
      </w:tr>
      <w:tr>
        <w:trPr>
          <w:trHeight w:val="270"/>
        </w:trPr>
        <w:tc>
          <w:tcPr>
            <w:tcW w:w="398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GRI - Regency, LLC (GRIR)</w:t>
            </w:r>
            <w:r>
              <w:rPr>
                <w:rFonts w:ascii="Arial" w:cs="Arial" w:eastAsia="Arial" w:hAnsi="Arial"/>
                <w:sz w:val="25"/>
                <w:szCs w:val="25"/>
                <w:color w:val="auto"/>
                <w:vertAlign w:val="superscript"/>
              </w:rPr>
              <w:t>(1)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272,044</w:t>
            </w:r>
          </w:p>
        </w:tc>
        <w:tc>
          <w:tcPr>
            <w:tcW w:w="18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1,939,659</w:t>
            </w: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23,357</w:t>
            </w: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w w:val="97"/>
              </w:rPr>
              <w:t>Macquarie CountryWide-Regency III, LLC (MCWR</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80" w:type="dxa"/>
            <w:vAlign w:val="bottom"/>
          </w:tcPr>
          <w:p>
            <w:pPr>
              <w:ind w:left="20"/>
              <w:spacing w:after="0" w:line="257" w:lineRule="exact"/>
              <w:rPr>
                <w:sz w:val="20"/>
                <w:szCs w:val="20"/>
                <w:color w:val="auto"/>
              </w:rPr>
            </w:pPr>
            <w:r>
              <w:rPr>
                <w:rFonts w:ascii="Arial" w:cs="Arial" w:eastAsia="Arial" w:hAnsi="Arial"/>
                <w:sz w:val="18"/>
                <w:szCs w:val="18"/>
                <w:color w:val="auto"/>
              </w:rPr>
              <w:t>III)</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60,496</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Columbia Regency Retail Partners, LLC (Columbia I)</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17,200</w:t>
            </w:r>
          </w:p>
        </w:tc>
        <w:tc>
          <w:tcPr>
            <w:tcW w:w="1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210,490</w:t>
            </w:r>
          </w:p>
        </w:tc>
        <w:tc>
          <w:tcPr>
            <w:tcW w:w="18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42,399</w:t>
            </w: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1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line="270" w:lineRule="exact"/>
              <w:rPr>
                <w:sz w:val="20"/>
                <w:szCs w:val="20"/>
                <w:color w:val="auto"/>
              </w:rPr>
            </w:pPr>
            <w:r>
              <w:rPr>
                <w:rFonts w:ascii="Arial" w:cs="Arial" w:eastAsia="Arial" w:hAnsi="Arial"/>
                <w:sz w:val="18"/>
                <w:szCs w:val="18"/>
                <w:color w:val="auto"/>
                <w:w w:val="95"/>
              </w:rPr>
              <w:t>Columbia Regency Partners II, LLC (Columbia II)</w:t>
            </w:r>
            <w:r>
              <w:rPr>
                <w:rFonts w:ascii="Arial" w:cs="Arial" w:eastAsia="Arial" w:hAnsi="Arial"/>
                <w:sz w:val="25"/>
                <w:szCs w:val="25"/>
                <w:color w:val="auto"/>
                <w:w w:val="95"/>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8,660</w:t>
            </w: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326,649</w:t>
            </w:r>
          </w:p>
        </w:tc>
        <w:tc>
          <w:tcPr>
            <w:tcW w:w="1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1,467</w:t>
            </w:r>
          </w:p>
        </w:tc>
        <w:tc>
          <w:tcPr>
            <w:tcW w:w="20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Cameron Village, LLC (Cameron)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16,708</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102,930</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line="270" w:lineRule="exact"/>
              <w:rPr>
                <w:sz w:val="20"/>
                <w:szCs w:val="20"/>
                <w:color w:val="auto"/>
              </w:rPr>
            </w:pPr>
            <w:r>
              <w:rPr>
                <w:rFonts w:ascii="Arial" w:cs="Arial" w:eastAsia="Arial" w:hAnsi="Arial"/>
                <w:sz w:val="18"/>
                <w:szCs w:val="18"/>
                <w:color w:val="auto"/>
              </w:rPr>
              <w:t>RegCal, LLC (RegCal)</w:t>
            </w:r>
            <w:r>
              <w:rPr>
                <w:rFonts w:ascii="Arial" w:cs="Arial" w:eastAsia="Arial" w:hAnsi="Arial"/>
                <w:sz w:val="25"/>
                <w:szCs w:val="25"/>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15,602</w:t>
            </w: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164,106</w:t>
            </w:r>
          </w:p>
        </w:tc>
        <w:tc>
          <w:tcPr>
            <w:tcW w:w="1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2,160</w:t>
            </w:r>
          </w:p>
        </w:tc>
        <w:tc>
          <w:tcPr>
            <w:tcW w:w="20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Retail Partners, LP (the Fund)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15,248</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323,406</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line="270" w:lineRule="exact"/>
              <w:rPr>
                <w:sz w:val="20"/>
                <w:szCs w:val="20"/>
                <w:color w:val="auto"/>
              </w:rPr>
            </w:pPr>
            <w:r>
              <w:rPr>
                <w:rFonts w:ascii="Arial" w:cs="Arial" w:eastAsia="Arial" w:hAnsi="Arial"/>
                <w:sz w:val="18"/>
                <w:szCs w:val="18"/>
                <w:color w:val="auto"/>
              </w:rPr>
              <w:t>US Regency Retail I, LLC (USAA)</w:t>
            </w:r>
            <w:r>
              <w:rPr>
                <w:rFonts w:ascii="Arial" w:cs="Arial" w:eastAsia="Arial" w:hAnsi="Arial"/>
                <w:sz w:val="25"/>
                <w:szCs w:val="25"/>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2,173</w:t>
            </w: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123,053</w:t>
            </w:r>
          </w:p>
        </w:tc>
        <w:tc>
          <w:tcPr>
            <w:tcW w:w="1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BRE Throne Holdings, LLC (BRET)</w:t>
            </w:r>
            <w:r>
              <w:rPr>
                <w:rFonts w:ascii="Arial" w:cs="Arial" w:eastAsia="Arial" w:hAnsi="Arial"/>
                <w:sz w:val="25"/>
                <w:szCs w:val="25"/>
                <w:color w:val="auto"/>
                <w:vertAlign w:val="superscript"/>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48,757</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2,211</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Other investments in real estate partnerships</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46,506</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184,165</w:t>
            </w: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3,833</w:t>
            </w: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442,927</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3,434,954</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79,264</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20"/>
        <w:spacing w:after="0" w:line="284" w:lineRule="auto"/>
        <w:tabs>
          <w:tab w:leader="none" w:pos="498"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Effective January 1, 2010, this partnership agreement was amended to include a unilateral right to elect to dissolve the partnership and receive a DIK upon liquidation; therefore, the Company has applied the Restricted Gain Method for additional properties sold to this partnership on or after January 1, 2010. During 2012, the Company did not sell any properties to this real estate partnership.</w:t>
      </w:r>
    </w:p>
    <w:p>
      <w:pPr>
        <w:spacing w:after="0" w:line="116" w:lineRule="exact"/>
        <w:rPr>
          <w:rFonts w:ascii="Arial" w:cs="Arial" w:eastAsia="Arial" w:hAnsi="Arial"/>
          <w:sz w:val="21"/>
          <w:szCs w:val="21"/>
          <w:color w:val="auto"/>
          <w:vertAlign w:val="superscript"/>
        </w:rPr>
      </w:pPr>
    </w:p>
    <w:p>
      <w:pPr>
        <w:jc w:val="both"/>
        <w:ind w:left="320"/>
        <w:spacing w:after="0" w:line="243" w:lineRule="auto"/>
        <w:tabs>
          <w:tab w:leader="none" w:pos="512" w:val="left"/>
        </w:tabs>
        <w:numPr>
          <w:ilvl w:val="0"/>
          <w:numId w:val="44"/>
        </w:numPr>
        <w:rPr>
          <w:rFonts w:ascii="Arial" w:cs="Arial" w:eastAsia="Arial" w:hAnsi="Arial"/>
          <w:sz w:val="23"/>
          <w:szCs w:val="23"/>
          <w:color w:val="auto"/>
          <w:vertAlign w:val="superscript"/>
        </w:rPr>
      </w:pPr>
      <w:r>
        <w:rPr>
          <w:rFonts w:ascii="Arial" w:cs="Arial" w:eastAsia="Arial" w:hAnsi="Arial"/>
          <w:sz w:val="17"/>
          <w:szCs w:val="17"/>
          <w:color w:val="auto"/>
        </w:rPr>
        <w:t>This partnership agreement has a unilateral right for election to dissolve the partnership and receive a DIK upon liquidation; therefore, the Company has applied the Restricted Gain Method to determine the amount of gain recognized on property sales to this partnership. During 2012, the Company did not sell any properties to this real estate partnership.</w:t>
      </w:r>
    </w:p>
    <w:p>
      <w:pPr>
        <w:spacing w:after="0" w:line="146" w:lineRule="exact"/>
        <w:rPr>
          <w:rFonts w:ascii="Arial" w:cs="Arial" w:eastAsia="Arial" w:hAnsi="Arial"/>
          <w:sz w:val="23"/>
          <w:szCs w:val="23"/>
          <w:color w:val="auto"/>
          <w:vertAlign w:val="superscript"/>
        </w:rPr>
      </w:pPr>
    </w:p>
    <w:p>
      <w:pPr>
        <w:jc w:val="both"/>
        <w:ind w:left="320"/>
        <w:spacing w:after="0" w:line="287" w:lineRule="auto"/>
        <w:tabs>
          <w:tab w:leader="none" w:pos="498"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On July 25, 2012, the Company sold a 15-property portfolio and retained a $47.5 million, 10.5% preferred stock investment in the entity that owns the portfolio. Following the 12-month anniversary of the closing date, Regency may call for the redemption of its investment in whole or in part, at par. Following the 18-month anniversary of the closing date, either Regency or the other member may initiate the redemption of Regency’s investment, in whole or in part. As the property holdings of BRET do not impact the rate of return on Regency's preferred stock investment, BRET's portfolio information is not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60"/>
          </w:cols>
          <w:pgMar w:left="900" w:top="121" w:right="239" w:bottom="1440" w:gutter="0" w:footer="0" w:header="0"/>
        </w:sectPr>
      </w:pPr>
    </w:p>
    <w:bookmarkStart w:id="97" w:name="page98"/>
    <w:bookmarkEnd w:id="97"/>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partnerships as of December 31, 2011 consist of the following (in thousands):</w:t>
      </w:r>
    </w:p>
    <w:p>
      <w:pPr>
        <w:spacing w:after="0" w:line="153"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The</w:t>
            </w:r>
          </w:p>
        </w:tc>
      </w:tr>
      <w:tr>
        <w:trPr>
          <w:trHeight w:val="135"/>
        </w:trPr>
        <w:tc>
          <w:tcPr>
            <w:tcW w:w="4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Company's</w:t>
            </w:r>
          </w:p>
        </w:tc>
      </w:tr>
      <w:tr>
        <w:trPr>
          <w:trHeight w:val="135"/>
        </w:trPr>
        <w:tc>
          <w:tcPr>
            <w:tcW w:w="4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 of Net</w:t>
            </w:r>
          </w:p>
        </w:tc>
      </w:tr>
      <w:tr>
        <w:trPr>
          <w:trHeight w:val="135"/>
        </w:trPr>
        <w:tc>
          <w:tcPr>
            <w:tcW w:w="4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Total Assets of</w:t>
            </w:r>
          </w:p>
        </w:tc>
        <w:tc>
          <w:tcPr>
            <w:tcW w:w="10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Net Income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Income (Loss)</w:t>
            </w:r>
          </w:p>
        </w:tc>
      </w:tr>
      <w:tr>
        <w:trPr>
          <w:trHeight w:val="135"/>
        </w:trPr>
        <w:tc>
          <w:tcPr>
            <w:tcW w:w="4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Total</w:t>
            </w: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the</w:t>
            </w:r>
          </w:p>
        </w:tc>
        <w:tc>
          <w:tcPr>
            <w:tcW w:w="10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(Loss) of the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the</w:t>
            </w:r>
          </w:p>
        </w:tc>
      </w:tr>
      <w:tr>
        <w:trPr>
          <w:trHeight w:val="174"/>
        </w:trPr>
        <w:tc>
          <w:tcPr>
            <w:tcW w:w="4360" w:type="dxa"/>
            <w:vAlign w:val="bottom"/>
          </w:tcPr>
          <w:p>
            <w:pPr>
              <w:spacing w:after="0"/>
              <w:rPr>
                <w:sz w:val="15"/>
                <w:szCs w:val="15"/>
                <w:color w:val="auto"/>
              </w:rPr>
            </w:pPr>
          </w:p>
        </w:tc>
        <w:tc>
          <w:tcPr>
            <w:tcW w:w="940" w:type="dxa"/>
            <w:vAlign w:val="bottom"/>
          </w:tcPr>
          <w:p>
            <w:pPr>
              <w:jc w:val="right"/>
              <w:ind w:right="92"/>
              <w:spacing w:after="0"/>
              <w:rPr>
                <w:sz w:val="20"/>
                <w:szCs w:val="20"/>
                <w:color w:val="auto"/>
              </w:rPr>
            </w:pPr>
            <w:r>
              <w:rPr>
                <w:rFonts w:ascii="Arial" w:cs="Arial" w:eastAsia="Arial" w:hAnsi="Arial"/>
                <w:sz w:val="13"/>
                <w:szCs w:val="13"/>
                <w:b w:val="1"/>
                <w:bCs w:val="1"/>
                <w:color w:val="auto"/>
              </w:rPr>
              <w:t>Ownership</w:t>
            </w:r>
          </w:p>
        </w:tc>
        <w:tc>
          <w:tcPr>
            <w:tcW w:w="1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Partnership</w:t>
            </w: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Partnership</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Partnership</w:t>
            </w:r>
          </w:p>
        </w:tc>
      </w:tr>
      <w:tr>
        <w:trPr>
          <w:trHeight w:val="270"/>
        </w:trPr>
        <w:tc>
          <w:tcPr>
            <w:tcW w:w="436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GRI - Regency, LLC (GRIR)</w:t>
            </w:r>
            <w:r>
              <w:rPr>
                <w:rFonts w:ascii="Arial" w:cs="Arial" w:eastAsia="Arial" w:hAnsi="Arial"/>
                <w:sz w:val="25"/>
                <w:szCs w:val="25"/>
                <w:color w:val="auto"/>
                <w:vertAlign w:val="superscript"/>
              </w:rPr>
              <w:t>(1)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262,018</w:t>
            </w:r>
          </w:p>
        </w:tc>
        <w:tc>
          <w:tcPr>
            <w:tcW w:w="18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2,001,526</w:t>
            </w:r>
          </w:p>
        </w:tc>
        <w:tc>
          <w:tcPr>
            <w:tcW w:w="18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18,244</w:t>
            </w:r>
          </w:p>
        </w:tc>
        <w:tc>
          <w:tcPr>
            <w:tcW w:w="18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7,266</w:t>
            </w:r>
          </w:p>
        </w:tc>
      </w:tr>
      <w:tr>
        <w:trPr>
          <w:trHeight w:val="270"/>
        </w:trPr>
        <w:tc>
          <w:tcPr>
            <w:tcW w:w="4360" w:type="dxa"/>
            <w:vAlign w:val="bottom"/>
          </w:tcPr>
          <w:p>
            <w:pPr>
              <w:ind w:left="20"/>
              <w:spacing w:after="0" w:line="270" w:lineRule="exact"/>
              <w:rPr>
                <w:sz w:val="20"/>
                <w:szCs w:val="20"/>
                <w:color w:val="auto"/>
              </w:rPr>
            </w:pPr>
            <w:r>
              <w:rPr>
                <w:rFonts w:ascii="Arial" w:cs="Arial" w:eastAsia="Arial" w:hAnsi="Arial"/>
                <w:sz w:val="18"/>
                <w:szCs w:val="18"/>
                <w:color w:val="auto"/>
                <w:w w:val="96"/>
              </w:rPr>
              <w:t>Macquarie CountryWide-Regency III, LLC (MCWR III)</w:t>
            </w:r>
            <w:r>
              <w:rPr>
                <w:rFonts w:ascii="Arial" w:cs="Arial" w:eastAsia="Arial" w:hAnsi="Arial"/>
                <w:sz w:val="25"/>
                <w:szCs w:val="25"/>
                <w:color w:val="auto"/>
                <w:w w:val="96"/>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24.95%</w:t>
            </w: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61,867</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Macquarie CountryWide-Regency-DESCO, LLC (MCWR-</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3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DESCO)</w:t>
            </w:r>
            <w:r>
              <w:rPr>
                <w:rFonts w:ascii="Arial" w:cs="Arial" w:eastAsia="Arial" w:hAnsi="Arial"/>
                <w:sz w:val="25"/>
                <w:szCs w:val="25"/>
                <w:color w:val="auto"/>
                <w:vertAlign w:val="superscript"/>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70"/>
        </w:trPr>
        <w:tc>
          <w:tcPr>
            <w:tcW w:w="4360" w:type="dxa"/>
            <w:vAlign w:val="bottom"/>
          </w:tcPr>
          <w:p>
            <w:pPr>
              <w:ind w:left="20"/>
              <w:spacing w:after="0" w:line="270" w:lineRule="exact"/>
              <w:rPr>
                <w:sz w:val="20"/>
                <w:szCs w:val="20"/>
                <w:color w:val="auto"/>
              </w:rPr>
            </w:pPr>
            <w:r>
              <w:rPr>
                <w:rFonts w:ascii="Arial" w:cs="Arial" w:eastAsia="Arial" w:hAnsi="Arial"/>
                <w:sz w:val="18"/>
                <w:szCs w:val="18"/>
                <w:color w:val="auto"/>
                <w:w w:val="97"/>
              </w:rPr>
              <w:t>Columbia Regency Retail Partners, LLC (Columbia I)</w:t>
            </w:r>
            <w:r>
              <w:rPr>
                <w:rFonts w:ascii="Arial" w:cs="Arial" w:eastAsia="Arial" w:hAnsi="Arial"/>
                <w:sz w:val="25"/>
                <w:szCs w:val="25"/>
                <w:color w:val="auto"/>
                <w:w w:val="97"/>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20,335</w:t>
            </w:r>
          </w:p>
        </w:tc>
        <w:tc>
          <w:tcPr>
            <w:tcW w:w="18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259,225</w:t>
            </w:r>
          </w:p>
        </w:tc>
        <w:tc>
          <w:tcPr>
            <w:tcW w:w="18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14,554</w:t>
            </w:r>
          </w:p>
        </w:tc>
        <w:tc>
          <w:tcPr>
            <w:tcW w:w="1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2,775</w:t>
            </w:r>
          </w:p>
        </w:tc>
      </w:tr>
      <w:tr>
        <w:trPr>
          <w:trHeight w:val="270"/>
        </w:trPr>
        <w:tc>
          <w:tcPr>
            <w:tcW w:w="4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Columbia Regency Partners II, LLC (Columbia II)</w:t>
            </w:r>
            <w:r>
              <w:rPr>
                <w:rFonts w:ascii="Arial" w:cs="Arial" w:eastAsia="Arial" w:hAnsi="Arial"/>
                <w:sz w:val="25"/>
                <w:szCs w:val="25"/>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9,686</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317,720</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Cameron Village, LLC (Cameron)</w:t>
            </w: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17,110</w:t>
            </w:r>
          </w:p>
        </w:tc>
        <w:tc>
          <w:tcPr>
            <w:tcW w:w="1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104,314</w:t>
            </w:r>
          </w:p>
        </w:tc>
        <w:tc>
          <w:tcPr>
            <w:tcW w:w="1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1,101</w:t>
            </w:r>
          </w:p>
        </w:tc>
        <w:tc>
          <w:tcPr>
            <w:tcW w:w="1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322</w:t>
            </w:r>
          </w:p>
        </w:tc>
      </w:tr>
      <w:tr>
        <w:trPr>
          <w:trHeight w:val="27"/>
        </w:trPr>
        <w:tc>
          <w:tcPr>
            <w:tcW w:w="4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RegCal, LLC (RegCal)</w:t>
            </w:r>
            <w:r>
              <w:rPr>
                <w:rFonts w:ascii="Arial" w:cs="Arial" w:eastAsia="Arial" w:hAnsi="Arial"/>
                <w:sz w:val="25"/>
                <w:szCs w:val="25"/>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18,128</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180,490</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7,615</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Regency Retail Partners, LP (the Fund)</w:t>
            </w: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16,430</w:t>
            </w:r>
          </w:p>
        </w:tc>
        <w:tc>
          <w:tcPr>
            <w:tcW w:w="1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333,013</w:t>
            </w:r>
          </w:p>
        </w:tc>
        <w:tc>
          <w:tcPr>
            <w:tcW w:w="1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268</w:t>
            </w:r>
          </w:p>
        </w:tc>
      </w:tr>
      <w:tr>
        <w:trPr>
          <w:trHeight w:val="27"/>
        </w:trPr>
        <w:tc>
          <w:tcPr>
            <w:tcW w:w="4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US Regency Retail I, LLC (USAA)</w:t>
            </w:r>
            <w:r>
              <w:rPr>
                <w:rFonts w:ascii="Arial" w:cs="Arial" w:eastAsia="Arial" w:hAnsi="Arial"/>
                <w:sz w:val="25"/>
                <w:szCs w:val="25"/>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3,093</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127,763</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1,215</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investments in real estate partnerships</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39,887</w:t>
            </w:r>
          </w:p>
        </w:tc>
        <w:tc>
          <w:tcPr>
            <w:tcW w:w="1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115,857</w:t>
            </w:r>
          </w:p>
        </w:tc>
        <w:tc>
          <w:tcPr>
            <w:tcW w:w="1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3,601</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7"/>
        </w:trPr>
        <w:tc>
          <w:tcPr>
            <w:tcW w:w="4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386,882</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3,501,775</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45,260</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9,643</w:t>
            </w:r>
          </w:p>
        </w:tc>
      </w:tr>
      <w:tr>
        <w:trPr>
          <w:trHeight w:val="20"/>
        </w:trPr>
        <w:tc>
          <w:tcPr>
            <w:tcW w:w="4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20" w:right="120"/>
        <w:spacing w:after="0" w:line="284" w:lineRule="auto"/>
        <w:tabs>
          <w:tab w:leader="none" w:pos="498"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As noted above, effective January 1, 2010, this partnership agreement was amended to include a unilateral right to elect to dissolve the partnership and receive a DIK upon liquidation; therefore, the Company will apply the Restricted Gain Method for additional properties sold to this partnership on or after January 1, 2010. During 2011, the Company did not sell any properties to this real estate partnership.</w:t>
      </w:r>
    </w:p>
    <w:p>
      <w:pPr>
        <w:spacing w:after="0" w:line="116" w:lineRule="exact"/>
        <w:rPr>
          <w:rFonts w:ascii="Arial" w:cs="Arial" w:eastAsia="Arial" w:hAnsi="Arial"/>
          <w:sz w:val="21"/>
          <w:szCs w:val="21"/>
          <w:color w:val="auto"/>
          <w:vertAlign w:val="superscript"/>
        </w:rPr>
      </w:pPr>
    </w:p>
    <w:p>
      <w:pPr>
        <w:ind w:left="320" w:right="180"/>
        <w:spacing w:after="0" w:line="284" w:lineRule="auto"/>
        <w:tabs>
          <w:tab w:leader="none" w:pos="498"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As noted above, this partnership agreement has a unilateral right for election to dissolve the partnership and receive a DIK upon liquidation; therefore, the Company has applied the Restricted Gain Method to determine the amount of gain recognized on property sales to this partnership. During 2011, the Company did not sell any properties to this real estate partnership.</w:t>
      </w:r>
    </w:p>
    <w:p>
      <w:pPr>
        <w:spacing w:after="0" w:line="116" w:lineRule="exact"/>
        <w:rPr>
          <w:rFonts w:ascii="Arial" w:cs="Arial" w:eastAsia="Arial" w:hAnsi="Arial"/>
          <w:sz w:val="21"/>
          <w:szCs w:val="21"/>
          <w:color w:val="auto"/>
          <w:vertAlign w:val="superscript"/>
        </w:rPr>
      </w:pPr>
    </w:p>
    <w:p>
      <w:pPr>
        <w:ind w:left="320"/>
        <w:spacing w:after="0" w:line="216" w:lineRule="auto"/>
        <w:tabs>
          <w:tab w:leader="none" w:pos="525"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At December 2010, our ownership interest in MCWR-DESCO was 16.35%. The liquidation of MCWR-DESCO was complete effective May 4, 2011. Our ownership interest in MCWR-DESCO was 0.00% at December 31, 2011.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760"/>
          </w:cols>
          <w:pgMar w:left="900" w:top="121" w:right="239" w:bottom="1440" w:gutter="0" w:footer="0" w:header="0"/>
        </w:sectPr>
      </w:pPr>
    </w:p>
    <w:bookmarkStart w:id="98" w:name="page99"/>
    <w:bookmarkEnd w:id="98"/>
    <w:p>
      <w:pPr>
        <w:jc w:val="center"/>
        <w:ind w:right="5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the investments in real estate partnerships on a combined basis, is as follows (in thousands):</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36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2011</w:t>
            </w:r>
          </w:p>
        </w:tc>
      </w:tr>
      <w:tr>
        <w:trPr>
          <w:trHeight w:val="297"/>
        </w:trPr>
        <w:tc>
          <w:tcPr>
            <w:tcW w:w="3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Investments in real estate, net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3,213,984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3,263,704</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lease intangible assets, net</w:t>
            </w:r>
          </w:p>
        </w:tc>
        <w:tc>
          <w:tcPr>
            <w:tcW w:w="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74,986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85,232</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145,984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152,839</w:t>
            </w:r>
          </w:p>
        </w:tc>
      </w:tr>
      <w:tr>
        <w:trPr>
          <w:trHeight w:val="27"/>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3,434,954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3,501,775</w:t>
            </w:r>
          </w:p>
        </w:tc>
      </w:t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84"/>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1,816,648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1,874,780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Acquired lease intangible liabilities, net</w:t>
            </w: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46,264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49,938</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67,495</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Capital - Regency</w:t>
            </w: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518,505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512,421</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 Third parties</w:t>
            </w:r>
          </w:p>
        </w:tc>
        <w:tc>
          <w:tcPr>
            <w:tcW w:w="9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982,961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997,141</w:t>
            </w:r>
          </w:p>
        </w:tc>
      </w:tr>
      <w:tr>
        <w:trPr>
          <w:trHeight w:val="257"/>
        </w:trPr>
        <w:tc>
          <w:tcPr>
            <w:tcW w:w="3620" w:type="dxa"/>
            <w:vAlign w:val="bottom"/>
          </w:tcPr>
          <w:p>
            <w:pPr>
              <w:ind w:left="740"/>
              <w:spacing w:after="0"/>
              <w:rPr>
                <w:sz w:val="20"/>
                <w:szCs w:val="20"/>
                <w:color w:val="auto"/>
              </w:rPr>
            </w:pPr>
            <w:r>
              <w:rPr>
                <w:rFonts w:ascii="Arial" w:cs="Arial" w:eastAsia="Arial" w:hAnsi="Arial"/>
                <w:sz w:val="18"/>
                <w:szCs w:val="18"/>
                <w:color w:val="auto"/>
              </w:rPr>
              <w:t>Total liabilities and capital</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3,434,954</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3,501,775</w:t>
            </w:r>
          </w:p>
        </w:tc>
      </w:t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reconciles the Company's capital in unconsolidated partnerships to the Company's investments in real estate partnerships (in thousands):</w:t>
      </w:r>
    </w:p>
    <w:p>
      <w:pPr>
        <w:spacing w:after="0" w:line="312"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1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 Regency</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518,505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512,421</w:t>
            </w:r>
          </w:p>
        </w:tc>
      </w:tr>
      <w:tr>
        <w:trPr>
          <w:trHeight w:val="243"/>
        </w:trPr>
        <w:tc>
          <w:tcPr>
            <w:tcW w:w="5180" w:type="dxa"/>
            <w:vAlign w:val="bottom"/>
          </w:tcPr>
          <w:p>
            <w:pPr>
              <w:ind w:left="160"/>
              <w:spacing w:after="0"/>
              <w:rPr>
                <w:sz w:val="20"/>
                <w:szCs w:val="20"/>
                <w:color w:val="auto"/>
              </w:rPr>
            </w:pPr>
            <w:r>
              <w:rPr>
                <w:rFonts w:ascii="Arial" w:cs="Arial" w:eastAsia="Arial" w:hAnsi="Arial"/>
                <w:sz w:val="18"/>
                <w:szCs w:val="18"/>
                <w:color w:val="auto"/>
              </w:rPr>
              <w:t>add: Preferred equity investment in BRET</w:t>
            </w:r>
          </w:p>
        </w:tc>
        <w:tc>
          <w:tcPr>
            <w:tcW w:w="62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47,500</w:t>
            </w:r>
          </w:p>
        </w:tc>
        <w:tc>
          <w:tcPr>
            <w:tcW w:w="1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Impairment</w:t>
            </w:r>
          </w:p>
        </w:tc>
        <w:tc>
          <w:tcPr>
            <w:tcW w:w="6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r>
      <w:tr>
        <w:trPr>
          <w:trHeight w:val="243"/>
        </w:trPr>
        <w:tc>
          <w:tcPr>
            <w:tcW w:w="5180" w:type="dxa"/>
            <w:vAlign w:val="bottom"/>
          </w:tcPr>
          <w:p>
            <w:pPr>
              <w:ind w:left="120"/>
              <w:spacing w:after="0"/>
              <w:rPr>
                <w:sz w:val="20"/>
                <w:szCs w:val="20"/>
                <w:color w:val="auto"/>
              </w:rPr>
            </w:pPr>
            <w:r>
              <w:rPr>
                <w:rFonts w:ascii="Arial" w:cs="Arial" w:eastAsia="Arial" w:hAnsi="Arial"/>
                <w:sz w:val="18"/>
                <w:szCs w:val="18"/>
                <w:color w:val="auto"/>
                <w:w w:val="99"/>
              </w:rPr>
              <w:t>less: Ownership percentage or Restricted Gain Method deferral</w:t>
            </w:r>
          </w:p>
        </w:tc>
        <w:tc>
          <w:tcPr>
            <w:tcW w:w="6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(38,995)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(41,456)</w:t>
            </w:r>
          </w:p>
        </w:tc>
      </w:tr>
      <w:tr>
        <w:trPr>
          <w:trHeight w:val="27"/>
        </w:trPr>
        <w:tc>
          <w:tcPr>
            <w:tcW w:w="5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Net book equity in excess of purchase price</w:t>
            </w:r>
          </w:p>
        </w:tc>
        <w:tc>
          <w:tcPr>
            <w:tcW w:w="6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(78,203)</w:t>
            </w:r>
          </w:p>
        </w:tc>
      </w:tr>
      <w:tr>
        <w:trPr>
          <w:trHeight w:val="257"/>
        </w:trPr>
        <w:tc>
          <w:tcPr>
            <w:tcW w:w="5180" w:type="dxa"/>
            <w:vAlign w:val="bottom"/>
          </w:tcPr>
          <w:p>
            <w:pPr>
              <w:ind w:left="20"/>
              <w:spacing w:after="0"/>
              <w:rPr>
                <w:sz w:val="20"/>
                <w:szCs w:val="20"/>
                <w:color w:val="auto"/>
              </w:rPr>
            </w:pPr>
            <w:r>
              <w:rPr>
                <w:rFonts w:ascii="Arial" w:cs="Arial" w:eastAsia="Arial" w:hAnsi="Arial"/>
                <w:sz w:val="18"/>
                <w:szCs w:val="18"/>
                <w:color w:val="auto"/>
              </w:rPr>
              <w:t>Investments in real estate partnerships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442,927</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386,882</w:t>
            </w:r>
          </w:p>
        </w:tc>
      </w:tr>
      <w:tr>
        <w:trPr>
          <w:trHeight w:val="20"/>
        </w:trPr>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shopping centers acquired through our unconsolidated co-investment partnerships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Debt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Purchase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Assumed,</w:t>
            </w:r>
          </w:p>
        </w:tc>
        <w:tc>
          <w:tcPr>
            <w:tcW w:w="8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Intangible</w:t>
            </w:r>
          </w:p>
        </w:tc>
        <w:tc>
          <w:tcPr>
            <w:tcW w:w="8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11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4"/>
              </w:rPr>
              <w:t>Date Purchased</w:t>
            </w:r>
          </w:p>
        </w:tc>
        <w:tc>
          <w:tcPr>
            <w:tcW w:w="11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Property Name</w:t>
            </w:r>
          </w:p>
        </w:tc>
        <w:tc>
          <w:tcPr>
            <w:tcW w:w="13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City/State</w:t>
            </w:r>
          </w:p>
        </w:tc>
        <w:tc>
          <w:tcPr>
            <w:tcW w:w="166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8"/>
              </w:rPr>
              <w:t>Co-investment Partner</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Ownership %</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Net of</w:t>
            </w:r>
          </w:p>
        </w:tc>
        <w:tc>
          <w:tcPr>
            <w:tcW w:w="8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Price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Assets</w:t>
            </w: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9"/>
        </w:trPr>
        <w:tc>
          <w:tcPr>
            <w:tcW w:w="1100" w:type="dxa"/>
            <w:vAlign w:val="bottom"/>
            <w:shd w:val="clear" w:color="auto" w:fill="CCEEFF"/>
          </w:tcPr>
          <w:p>
            <w:pPr>
              <w:spacing w:after="0"/>
              <w:rPr>
                <w:sz w:val="19"/>
                <w:szCs w:val="19"/>
                <w:color w:val="auto"/>
              </w:rPr>
            </w:pP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Lake Grove</w:t>
            </w:r>
          </w:p>
        </w:tc>
        <w:tc>
          <w:tcPr>
            <w:tcW w:w="1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1/17/2012</w:t>
            </w:r>
          </w:p>
        </w:tc>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Commons</w:t>
            </w:r>
          </w:p>
        </w:tc>
        <w:tc>
          <w:tcPr>
            <w:tcW w:w="1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Lake Grove, NY</w:t>
            </w:r>
          </w:p>
        </w:tc>
        <w:tc>
          <w:tcPr>
            <w:tcW w:w="1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GRIR</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72,500</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31,813</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5,397</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4,342</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Applewood</w:t>
            </w:r>
          </w:p>
        </w:tc>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00" w:type="dxa"/>
            <w:vAlign w:val="bottom"/>
          </w:tcPr>
          <w:p>
            <w:pPr>
              <w:ind w:left="20"/>
              <w:spacing w:after="0"/>
              <w:rPr>
                <w:sz w:val="20"/>
                <w:szCs w:val="20"/>
                <w:color w:val="auto"/>
              </w:rPr>
            </w:pPr>
            <w:r>
              <w:rPr>
                <w:rFonts w:ascii="Arial" w:cs="Arial" w:eastAsia="Arial" w:hAnsi="Arial"/>
                <w:sz w:val="16"/>
                <w:szCs w:val="16"/>
                <w:color w:val="auto"/>
              </w:rPr>
              <w:t>11/28/2012</w:t>
            </w:r>
          </w:p>
        </w:tc>
        <w:tc>
          <w:tcPr>
            <w:tcW w:w="1180" w:type="dxa"/>
            <w:vAlign w:val="bottom"/>
          </w:tcPr>
          <w:p>
            <w:pPr>
              <w:ind w:left="40"/>
              <w:spacing w:after="0"/>
              <w:rPr>
                <w:sz w:val="20"/>
                <w:szCs w:val="20"/>
                <w:color w:val="auto"/>
              </w:rPr>
            </w:pPr>
            <w:r>
              <w:rPr>
                <w:rFonts w:ascii="Arial" w:cs="Arial" w:eastAsia="Arial" w:hAnsi="Arial"/>
                <w:sz w:val="16"/>
                <w:szCs w:val="16"/>
                <w:color w:val="auto"/>
              </w:rPr>
              <w:t>Village Shops</w:t>
            </w:r>
          </w:p>
        </w:tc>
        <w:tc>
          <w:tcPr>
            <w:tcW w:w="1320" w:type="dxa"/>
            <w:vAlign w:val="bottom"/>
          </w:tcPr>
          <w:p>
            <w:pPr>
              <w:ind w:left="80"/>
              <w:spacing w:after="0"/>
              <w:rPr>
                <w:sz w:val="20"/>
                <w:szCs w:val="20"/>
                <w:color w:val="auto"/>
              </w:rPr>
            </w:pPr>
            <w:r>
              <w:rPr>
                <w:rFonts w:ascii="Arial" w:cs="Arial" w:eastAsia="Arial" w:hAnsi="Arial"/>
                <w:sz w:val="16"/>
                <w:szCs w:val="16"/>
                <w:color w:val="auto"/>
                <w:w w:val="97"/>
              </w:rPr>
              <w:t>Wheat Ridge, CO</w:t>
            </w:r>
          </w:p>
        </w:tc>
        <w:tc>
          <w:tcPr>
            <w:tcW w:w="1660" w:type="dxa"/>
            <w:vAlign w:val="bottom"/>
          </w:tcPr>
          <w:p>
            <w:pPr>
              <w:ind w:left="80"/>
              <w:spacing w:after="0"/>
              <w:rPr>
                <w:sz w:val="20"/>
                <w:szCs w:val="20"/>
                <w:color w:val="auto"/>
              </w:rPr>
            </w:pPr>
            <w:r>
              <w:rPr>
                <w:rFonts w:ascii="Arial" w:cs="Arial" w:eastAsia="Arial" w:hAnsi="Arial"/>
                <w:sz w:val="16"/>
                <w:szCs w:val="16"/>
                <w:color w:val="auto"/>
              </w:rPr>
              <w:t>GRIR</w:t>
            </w:r>
          </w:p>
        </w:tc>
        <w:tc>
          <w:tcPr>
            <w:tcW w:w="1040" w:type="dxa"/>
            <w:vAlign w:val="bottom"/>
          </w:tcPr>
          <w:p>
            <w:pPr>
              <w:jc w:val="center"/>
              <w:spacing w:after="0"/>
              <w:rPr>
                <w:sz w:val="20"/>
                <w:szCs w:val="20"/>
                <w:color w:val="auto"/>
              </w:rPr>
            </w:pPr>
            <w:r>
              <w:rPr>
                <w:rFonts w:ascii="Arial" w:cs="Arial" w:eastAsia="Arial" w:hAnsi="Arial"/>
                <w:sz w:val="16"/>
                <w:szCs w:val="16"/>
                <w:color w:val="auto"/>
                <w:w w:val="87"/>
              </w:rPr>
              <w:t>40%</w:t>
            </w:r>
          </w:p>
        </w:tc>
        <w:tc>
          <w:tcPr>
            <w:tcW w:w="1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3,700</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363</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12/19/2012</w:t>
            </w:r>
          </w:p>
        </w:tc>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Village Plaza</w:t>
            </w:r>
          </w:p>
        </w:tc>
        <w:tc>
          <w:tcPr>
            <w:tcW w:w="1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Chapel Hill, NC</w:t>
            </w:r>
          </w:p>
        </w:tc>
        <w:tc>
          <w:tcPr>
            <w:tcW w:w="1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Columbia II</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19,200</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2,242</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37"/>
        </w:trPr>
        <w:tc>
          <w:tcPr>
            <w:tcW w:w="1100" w:type="dxa"/>
            <w:vAlign w:val="bottom"/>
          </w:tcPr>
          <w:p>
            <w:pPr>
              <w:ind w:left="20"/>
              <w:spacing w:after="0"/>
              <w:rPr>
                <w:sz w:val="20"/>
                <w:szCs w:val="20"/>
                <w:color w:val="auto"/>
              </w:rPr>
            </w:pPr>
            <w:r>
              <w:rPr>
                <w:rFonts w:ascii="Arial" w:cs="Arial" w:eastAsia="Arial" w:hAnsi="Arial"/>
                <w:sz w:val="16"/>
                <w:szCs w:val="16"/>
                <w:color w:val="auto"/>
              </w:rPr>
              <w:t>12/28/2012</w:t>
            </w:r>
          </w:p>
        </w:tc>
        <w:tc>
          <w:tcPr>
            <w:tcW w:w="1180" w:type="dxa"/>
            <w:vAlign w:val="bottom"/>
          </w:tcPr>
          <w:p>
            <w:pPr>
              <w:ind w:left="40"/>
              <w:spacing w:after="0"/>
              <w:rPr>
                <w:sz w:val="20"/>
                <w:szCs w:val="20"/>
                <w:color w:val="auto"/>
              </w:rPr>
            </w:pPr>
            <w:r>
              <w:rPr>
                <w:rFonts w:ascii="Arial" w:cs="Arial" w:eastAsia="Arial" w:hAnsi="Arial"/>
                <w:sz w:val="16"/>
                <w:szCs w:val="16"/>
                <w:color w:val="auto"/>
              </w:rPr>
              <w:t>Phillips Place</w:t>
            </w:r>
          </w:p>
        </w:tc>
        <w:tc>
          <w:tcPr>
            <w:tcW w:w="1320" w:type="dxa"/>
            <w:vAlign w:val="bottom"/>
          </w:tcPr>
          <w:p>
            <w:pPr>
              <w:ind w:left="80"/>
              <w:spacing w:after="0"/>
              <w:rPr>
                <w:sz w:val="20"/>
                <w:szCs w:val="20"/>
                <w:color w:val="auto"/>
              </w:rPr>
            </w:pPr>
            <w:r>
              <w:rPr>
                <w:rFonts w:ascii="Arial" w:cs="Arial" w:eastAsia="Arial" w:hAnsi="Arial"/>
                <w:sz w:val="16"/>
                <w:szCs w:val="16"/>
                <w:color w:val="auto"/>
              </w:rPr>
              <w:t>Charlotte, NC</w:t>
            </w:r>
          </w:p>
        </w:tc>
        <w:tc>
          <w:tcPr>
            <w:tcW w:w="1660" w:type="dxa"/>
            <w:vAlign w:val="bottom"/>
          </w:tcPr>
          <w:p>
            <w:pPr>
              <w:ind w:left="80"/>
              <w:spacing w:after="0"/>
              <w:rPr>
                <w:sz w:val="20"/>
                <w:szCs w:val="20"/>
                <w:color w:val="auto"/>
              </w:rPr>
            </w:pPr>
            <w:r>
              <w:rPr>
                <w:rFonts w:ascii="Arial" w:cs="Arial" w:eastAsia="Arial" w:hAnsi="Arial"/>
                <w:sz w:val="16"/>
                <w:szCs w:val="16"/>
                <w:color w:val="auto"/>
              </w:rPr>
              <w:t>Other</w:t>
            </w:r>
          </w:p>
        </w:tc>
        <w:tc>
          <w:tcPr>
            <w:tcW w:w="1040" w:type="dxa"/>
            <w:vAlign w:val="bottom"/>
          </w:tcPr>
          <w:p>
            <w:pPr>
              <w:jc w:val="center"/>
              <w:spacing w:after="0"/>
              <w:rPr>
                <w:sz w:val="20"/>
                <w:szCs w:val="20"/>
                <w:color w:val="auto"/>
              </w:rPr>
            </w:pPr>
            <w:r>
              <w:rPr>
                <w:rFonts w:ascii="Arial" w:cs="Arial" w:eastAsia="Arial" w:hAnsi="Arial"/>
                <w:sz w:val="16"/>
                <w:szCs w:val="16"/>
                <w:color w:val="auto"/>
                <w:w w:val="87"/>
              </w:rPr>
              <w:t>50%</w:t>
            </w: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55,400</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44,500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150,800</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76,313</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8,002</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5,062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900" w:top="121" w:right="339" w:bottom="1440" w:gutter="0" w:footer="0" w:header="0"/>
        </w:sectPr>
      </w:pPr>
    </w:p>
    <w:p>
      <w:pPr>
        <w:spacing w:after="0" w:line="29"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660"/>
          </w:cols>
          <w:pgMar w:left="900" w:top="121" w:right="339" w:bottom="1440" w:gutter="0" w:footer="0" w:header="0"/>
          <w:type w:val="continuous"/>
        </w:sectPr>
      </w:pPr>
    </w:p>
    <w:bookmarkStart w:id="99" w:name="page100"/>
    <w:bookmarkEnd w:id="99"/>
    <w:p>
      <w:pPr>
        <w:jc w:val="center"/>
        <w:ind w:right="6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shopping centers acquired through our unconsolidated co-investment partnerships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Date</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Purchase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Debt Assumed,</w:t>
            </w:r>
          </w:p>
        </w:tc>
        <w:tc>
          <w:tcPr>
            <w:tcW w:w="92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Intangible</w:t>
            </w:r>
          </w:p>
        </w:tc>
        <w:tc>
          <w:tcPr>
            <w:tcW w:w="9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Property Name</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City/State</w:t>
            </w:r>
          </w:p>
        </w:tc>
        <w:tc>
          <w:tcPr>
            <w:tcW w:w="18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9"/>
              </w:rPr>
              <w:t>Co-investment Partner</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Ownership %</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Net of</w:t>
            </w:r>
          </w:p>
        </w:tc>
        <w:tc>
          <w:tcPr>
            <w:tcW w:w="9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Purchased</w:t>
            </w:r>
          </w:p>
        </w:tc>
        <w:tc>
          <w:tcPr>
            <w:tcW w:w="120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Price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Premiums</w:t>
            </w: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Assets</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9"/>
        </w:trPr>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Calhoun</w:t>
            </w:r>
          </w:p>
        </w:tc>
        <w:tc>
          <w:tcPr>
            <w:tcW w:w="14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w w:val="93"/>
              </w:rPr>
              <w:t>7/1/2011</w:t>
            </w:r>
          </w:p>
        </w:tc>
        <w:tc>
          <w:tcPr>
            <w:tcW w:w="1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Commons</w:t>
            </w:r>
          </w:p>
        </w:tc>
        <w:tc>
          <w:tcPr>
            <w:tcW w:w="1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Minneapolis, MN</w:t>
            </w:r>
          </w:p>
        </w:tc>
        <w:tc>
          <w:tcPr>
            <w:tcW w:w="1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RegCal</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21,020</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6,052</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2,130</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6"/>
                <w:szCs w:val="16"/>
                <w:color w:val="auto"/>
              </w:rPr>
              <w:t>Rockridge</w:t>
            </w:r>
          </w:p>
        </w:tc>
        <w:tc>
          <w:tcPr>
            <w:tcW w:w="1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right"/>
              <w:ind w:right="223"/>
              <w:spacing w:after="0"/>
              <w:rPr>
                <w:sz w:val="20"/>
                <w:szCs w:val="20"/>
                <w:color w:val="auto"/>
              </w:rPr>
            </w:pPr>
            <w:r>
              <w:rPr>
                <w:rFonts w:ascii="Arial" w:cs="Arial" w:eastAsia="Arial" w:hAnsi="Arial"/>
                <w:sz w:val="16"/>
                <w:szCs w:val="16"/>
                <w:color w:val="auto"/>
                <w:w w:val="93"/>
              </w:rPr>
              <w:t>8/8/2011</w:t>
            </w:r>
          </w:p>
        </w:tc>
        <w:tc>
          <w:tcPr>
            <w:tcW w:w="1200" w:type="dxa"/>
            <w:vAlign w:val="bottom"/>
          </w:tcPr>
          <w:p>
            <w:pPr>
              <w:ind w:left="80"/>
              <w:spacing w:after="0"/>
              <w:rPr>
                <w:sz w:val="20"/>
                <w:szCs w:val="20"/>
                <w:color w:val="auto"/>
              </w:rPr>
            </w:pPr>
            <w:r>
              <w:rPr>
                <w:rFonts w:ascii="Arial" w:cs="Arial" w:eastAsia="Arial" w:hAnsi="Arial"/>
                <w:sz w:val="16"/>
                <w:szCs w:val="16"/>
                <w:color w:val="auto"/>
              </w:rPr>
              <w:t>Center</w:t>
            </w:r>
          </w:p>
        </w:tc>
        <w:tc>
          <w:tcPr>
            <w:tcW w:w="1440" w:type="dxa"/>
            <w:vAlign w:val="bottom"/>
          </w:tcPr>
          <w:p>
            <w:pPr>
              <w:ind w:left="60"/>
              <w:spacing w:after="0"/>
              <w:rPr>
                <w:sz w:val="20"/>
                <w:szCs w:val="20"/>
                <w:color w:val="auto"/>
              </w:rPr>
            </w:pPr>
            <w:r>
              <w:rPr>
                <w:rFonts w:ascii="Arial" w:cs="Arial" w:eastAsia="Arial" w:hAnsi="Arial"/>
                <w:sz w:val="16"/>
                <w:szCs w:val="16"/>
                <w:color w:val="auto"/>
              </w:rPr>
              <w:t>Plymouth, MN</w:t>
            </w:r>
          </w:p>
        </w:tc>
        <w:tc>
          <w:tcPr>
            <w:tcW w:w="1880" w:type="dxa"/>
            <w:vAlign w:val="bottom"/>
          </w:tcPr>
          <w:p>
            <w:pPr>
              <w:ind w:left="240"/>
              <w:spacing w:after="0"/>
              <w:rPr>
                <w:sz w:val="20"/>
                <w:szCs w:val="20"/>
                <w:color w:val="auto"/>
              </w:rPr>
            </w:pPr>
            <w:r>
              <w:rPr>
                <w:rFonts w:ascii="Arial" w:cs="Arial" w:eastAsia="Arial" w:hAnsi="Arial"/>
                <w:sz w:val="16"/>
                <w:szCs w:val="16"/>
                <w:color w:val="auto"/>
              </w:rPr>
              <w:t>Columbia II</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20%</w:t>
            </w:r>
          </w:p>
        </w:tc>
        <w:tc>
          <w:tcPr>
            <w:tcW w:w="2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20,500</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16,459</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2,116</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33"/>
        </w:trPr>
        <w:tc>
          <w:tcPr>
            <w:tcW w:w="9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41,520</w:t>
            </w: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22,511</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4,246</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25, 2012, the Company sold a 15-property portfolio for total consideration of $321.0 million. As a result of entering into this agreement, the Company recognized a net impairment loss of $18.1 million during the year ended December 31, 2012. The Company retained a $47.5 million, 10.5% preferred stock investment in the entity that owns the portfolio. As of December 31, 2012, this asset group did not meet the definition of discontinued operations, in accordance with FASB ASC Topic 205-20. Following the 12-month anniversary of the closing date, Regency may call for the redemption of its investment in whole or in part, at par. Following the 18-month anniversary of the closing date, either Regency or the other member may initiate the redemption of Regency’s investment, in whole or in part. Regency does not provide leasing or management services for the Portfolio after closing.</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Payable</w:t>
      </w:r>
    </w:p>
    <w:p>
      <w:pPr>
        <w:spacing w:after="0" w:line="3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Company’s proportionate share of notes payable of the investments in real estate partnerships was $597.4 million and $610.4 million at December 31, 2012 and 2011, respectively. The Company does not guarantee these loans.</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December 31, 2012, scheduled principal repayments on notes payable of the investments in real estate partnerships were as follows (in thousands):</w:t>
      </w:r>
    </w:p>
    <w:p>
      <w:pPr>
        <w:spacing w:after="0" w:line="9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Scheduled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Mortgage Loan</w:t>
            </w:r>
          </w:p>
        </w:tc>
        <w:tc>
          <w:tcPr>
            <w:tcW w:w="13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Unsecured</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Regency’s</w:t>
            </w:r>
          </w:p>
        </w:tc>
        <w:tc>
          <w:tcPr>
            <w:tcW w:w="0" w:type="dxa"/>
            <w:vAlign w:val="bottom"/>
          </w:tcPr>
          <w:p>
            <w:pPr>
              <w:spacing w:after="0"/>
              <w:rPr>
                <w:sz w:val="1"/>
                <w:szCs w:val="1"/>
                <w:color w:val="auto"/>
              </w:rPr>
            </w:pPr>
          </w:p>
        </w:tc>
      </w:tr>
      <w:tr>
        <w:trPr>
          <w:trHeight w:val="14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Scheduled Principal Payments by Year:</w:t>
            </w:r>
          </w:p>
        </w:tc>
        <w:tc>
          <w:tcPr>
            <w:tcW w:w="22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Principal</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Pro-Rata</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Maturities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Maturities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19,176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15,949</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21,289</w:t>
            </w: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53,015</w:t>
            </w: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21,660</w:t>
            </w: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95,964</w:t>
            </w:r>
          </w:p>
        </w:tc>
        <w:tc>
          <w:tcPr>
            <w:tcW w:w="1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27,254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21,895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130,796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152,691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49,619</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19,139</w:t>
            </w: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374,257</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393,396</w:t>
            </w:r>
          </w:p>
        </w:tc>
        <w:tc>
          <w:tcPr>
            <w:tcW w:w="1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127,888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18,437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200,635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219,072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51,610</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Beyond 5 Years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77,039</w:t>
            </w: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833,680</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910,719</w:t>
            </w:r>
          </w:p>
        </w:tc>
        <w:tc>
          <w:tcPr>
            <w:tcW w:w="1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325,272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premiums (discounts), net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7"/>
        </w:trPr>
        <w:tc>
          <w:tcPr>
            <w:tcW w:w="36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176,975</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1,618,013</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21,660</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1,816,648</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597,423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900" w:top="121" w:right="299" w:bottom="1440" w:gutter="0" w:footer="0" w:header="0"/>
        </w:sectPr>
      </w:pPr>
    </w:p>
    <w:bookmarkStart w:id="100" w:name="page101"/>
    <w:bookmarkEnd w:id="100"/>
    <w:p>
      <w:pPr>
        <w:jc w:val="center"/>
        <w:ind w:left="580" w:right="24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52"/>
        <w:spacing w:after="0"/>
        <w:rPr>
          <w:sz w:val="20"/>
          <w:szCs w:val="20"/>
          <w:color w:val="auto"/>
        </w:rPr>
      </w:pPr>
      <w:r>
        <w:rPr>
          <w:rFonts w:ascii="Arial" w:cs="Arial" w:eastAsia="Arial" w:hAnsi="Arial"/>
          <w:sz w:val="16"/>
          <w:szCs w:val="16"/>
          <w:color w:val="auto"/>
        </w:rPr>
        <w:t>The revenues and expenses for the investments in real estate partnerships on a combined basis are summarized as follows (in thousands):</w:t>
      </w:r>
    </w:p>
    <w:p>
      <w:pPr>
        <w:spacing w:after="0" w:line="208" w:lineRule="exact"/>
        <w:rPr>
          <w:sz w:val="20"/>
          <w:szCs w:val="20"/>
          <w:color w:val="auto"/>
        </w:rPr>
      </w:pPr>
    </w:p>
    <w:p>
      <w:pPr>
        <w:ind w:left="7212"/>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37465</wp:posOffset>
            </wp:positionV>
            <wp:extent cx="29927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25" w:lineRule="exact"/>
        <w:rPr>
          <w:sz w:val="20"/>
          <w:szCs w:val="20"/>
          <w:color w:val="auto"/>
        </w:rPr>
      </w:pPr>
    </w:p>
    <w:tbl>
      <w:tblPr>
        <w:tblLayout w:type="fixed"/>
        <w:tblInd w:w="1332" w:type="dxa"/>
        <w:tblCellMar>
          <w:top w:w="0" w:type="dxa"/>
          <w:left w:w="0" w:type="dxa"/>
          <w:bottom w:w="0" w:type="dxa"/>
          <w:right w:w="0" w:type="dxa"/>
        </w:tblCellMar>
      </w:tblPr>
      <w:tr>
        <w:trPr>
          <w:trHeight w:val="192"/>
        </w:trPr>
        <w:tc>
          <w:tcPr>
            <w:tcW w:w="40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70"/>
        </w:trPr>
        <w:tc>
          <w:tcPr>
            <w:tcW w:w="4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387,908</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399,091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437,029</w:t>
            </w:r>
          </w:p>
        </w:tc>
      </w:tr>
      <w:tr>
        <w:trPr>
          <w:trHeight w:val="223"/>
        </w:trPr>
        <w:tc>
          <w:tcPr>
            <w:tcW w:w="404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4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4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134,236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155,146</w:t>
            </w:r>
          </w:p>
        </w:tc>
      </w:tr>
      <w:tr>
        <w:trPr>
          <w:trHeight w:val="243"/>
        </w:trPr>
        <w:tc>
          <w:tcPr>
            <w:tcW w:w="4040" w:type="dxa"/>
            <w:vAlign w:val="bottom"/>
          </w:tcPr>
          <w:p>
            <w:pPr>
              <w:ind w:left="620"/>
              <w:spacing w:after="0"/>
              <w:rPr>
                <w:sz w:val="20"/>
                <w:szCs w:val="20"/>
                <w:color w:val="auto"/>
              </w:rPr>
            </w:pPr>
            <w:r>
              <w:rPr>
                <w:rFonts w:ascii="Arial" w:cs="Arial" w:eastAsia="Arial" w:hAnsi="Arial"/>
                <w:sz w:val="18"/>
                <w:szCs w:val="18"/>
                <w:color w:val="auto"/>
              </w:rPr>
              <w:t>Operating and maintenance</w:t>
            </w:r>
          </w:p>
        </w:tc>
        <w:tc>
          <w:tcPr>
            <w:tcW w:w="6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55,394</w:t>
            </w:r>
          </w:p>
        </w:tc>
        <w:tc>
          <w:tcPr>
            <w:tcW w:w="1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62,442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67,541</w:t>
            </w:r>
          </w:p>
        </w:tc>
      </w:tr>
      <w:tr>
        <w:trPr>
          <w:trHeight w:val="27"/>
        </w:trPr>
        <w:tc>
          <w:tcPr>
            <w:tcW w:w="4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7,383</w:t>
            </w:r>
          </w:p>
        </w:tc>
      </w:tr>
      <w:tr>
        <w:trPr>
          <w:trHeight w:val="243"/>
        </w:trPr>
        <w:tc>
          <w:tcPr>
            <w:tcW w:w="4040" w:type="dxa"/>
            <w:vAlign w:val="bottom"/>
          </w:tcPr>
          <w:p>
            <w:pPr>
              <w:ind w:left="620"/>
              <w:spacing w:after="0"/>
              <w:rPr>
                <w:sz w:val="20"/>
                <w:szCs w:val="20"/>
                <w:color w:val="auto"/>
              </w:rPr>
            </w:pPr>
            <w:r>
              <w:rPr>
                <w:rFonts w:ascii="Arial" w:cs="Arial" w:eastAsia="Arial" w:hAnsi="Arial"/>
                <w:sz w:val="18"/>
                <w:szCs w:val="18"/>
                <w:color w:val="auto"/>
              </w:rPr>
              <w:t>Real estate taxes</w:t>
            </w:r>
          </w:p>
        </w:tc>
        <w:tc>
          <w:tcPr>
            <w:tcW w:w="6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46,395</w:t>
            </w:r>
          </w:p>
        </w:tc>
        <w:tc>
          <w:tcPr>
            <w:tcW w:w="1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49,103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55,926</w:t>
            </w:r>
          </w:p>
        </w:tc>
      </w:tr>
      <w:tr>
        <w:trPr>
          <w:trHeight w:val="27"/>
        </w:trPr>
        <w:tc>
          <w:tcPr>
            <w:tcW w:w="4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r>
      <w:tr>
        <w:trPr>
          <w:trHeight w:val="237"/>
        </w:trPr>
        <w:tc>
          <w:tcPr>
            <w:tcW w:w="4040" w:type="dxa"/>
            <w:vAlign w:val="bottom"/>
          </w:tcPr>
          <w:p>
            <w:pPr>
              <w:ind w:left="114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241,805</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257,163</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289,662</w:t>
            </w:r>
          </w:p>
        </w:tc>
      </w:tr>
      <w:tr>
        <w:trPr>
          <w:trHeight w:val="27"/>
        </w:trPr>
        <w:tc>
          <w:tcPr>
            <w:tcW w:w="40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expense (income):</w:t>
            </w: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620"/>
              <w:spacing w:after="0"/>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104,694</w:t>
            </w:r>
          </w:p>
        </w:tc>
        <w:tc>
          <w:tcPr>
            <w:tcW w:w="1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112,099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129,581</w:t>
            </w:r>
          </w:p>
        </w:tc>
      </w:tr>
      <w:tr>
        <w:trPr>
          <w:trHeight w:val="27"/>
        </w:trPr>
        <w:tc>
          <w:tcPr>
            <w:tcW w:w="4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Gain on sale of real estate</w:t>
            </w: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r>
      <w:tr>
        <w:trPr>
          <w:trHeight w:val="243"/>
        </w:trPr>
        <w:tc>
          <w:tcPr>
            <w:tcW w:w="4040" w:type="dxa"/>
            <w:vAlign w:val="bottom"/>
          </w:tcPr>
          <w:p>
            <w:pPr>
              <w:ind w:left="620"/>
              <w:spacing w:after="0"/>
              <w:rPr>
                <w:sz w:val="20"/>
                <w:szCs w:val="20"/>
                <w:color w:val="auto"/>
              </w:rPr>
            </w:pPr>
            <w:r>
              <w:rPr>
                <w:rFonts w:ascii="Arial" w:cs="Arial" w:eastAsia="Arial" w:hAnsi="Arial"/>
                <w:sz w:val="18"/>
                <w:szCs w:val="18"/>
                <w:color w:val="auto"/>
              </w:rPr>
              <w:t>Loss (gain) on extinguishment of debt</w:t>
            </w:r>
          </w:p>
        </w:tc>
        <w:tc>
          <w:tcPr>
            <w:tcW w:w="6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Loss on hedge ineffectiveness</w:t>
            </w: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620"/>
              <w:spacing w:after="0"/>
              <w:rPr>
                <w:sz w:val="20"/>
                <w:szCs w:val="20"/>
                <w:color w:val="auto"/>
              </w:rPr>
            </w:pPr>
            <w:r>
              <w:rPr>
                <w:rFonts w:ascii="Arial" w:cs="Arial" w:eastAsia="Arial" w:hAnsi="Arial"/>
                <w:sz w:val="18"/>
                <w:szCs w:val="18"/>
                <w:color w:val="auto"/>
              </w:rPr>
              <w:t>Provision for impairment</w:t>
            </w:r>
          </w:p>
        </w:tc>
        <w:tc>
          <w:tcPr>
            <w:tcW w:w="6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78,908</w:t>
            </w:r>
          </w:p>
        </w:tc>
      </w:tr>
      <w:tr>
        <w:trPr>
          <w:trHeight w:val="27"/>
        </w:trPr>
        <w:tc>
          <w:tcPr>
            <w:tcW w:w="4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Preferred return on equity investment</w:t>
            </w: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620"/>
              <w:spacing w:after="0"/>
              <w:rPr>
                <w:sz w:val="20"/>
                <w:szCs w:val="20"/>
                <w:color w:val="auto"/>
              </w:rPr>
            </w:pPr>
            <w:r>
              <w:rPr>
                <w:rFonts w:ascii="Arial" w:cs="Arial" w:eastAsia="Arial" w:hAnsi="Arial"/>
                <w:sz w:val="18"/>
                <w:szCs w:val="18"/>
                <w:color w:val="auto"/>
              </w:rPr>
              <w:t>Other expense (income)</w:t>
            </w:r>
          </w:p>
        </w:tc>
        <w:tc>
          <w:tcPr>
            <w:tcW w:w="6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40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40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Total other expense</w:t>
            </w:r>
          </w:p>
        </w:tc>
        <w:tc>
          <w:tcPr>
            <w:tcW w:w="6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66,839</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96,668</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199,130</w:t>
            </w:r>
          </w:p>
        </w:tc>
      </w:tr>
      <w:tr>
        <w:trPr>
          <w:trHeight w:val="297"/>
        </w:trPr>
        <w:tc>
          <w:tcPr>
            <w:tcW w:w="4040" w:type="dxa"/>
            <w:vAlign w:val="bottom"/>
            <w:tcBorders>
              <w:bottom w:val="single" w:sz="8" w:color="CCEEFF"/>
            </w:tcBorders>
          </w:tcPr>
          <w:p>
            <w:pPr>
              <w:ind w:left="1180"/>
              <w:spacing w:after="0"/>
              <w:rPr>
                <w:sz w:val="20"/>
                <w:szCs w:val="20"/>
                <w:color w:val="auto"/>
              </w:rPr>
            </w:pPr>
            <w:r>
              <w:rPr>
                <w:rFonts w:ascii="Arial" w:cs="Arial" w:eastAsia="Arial" w:hAnsi="Arial"/>
                <w:sz w:val="18"/>
                <w:szCs w:val="18"/>
                <w:color w:val="auto"/>
              </w:rPr>
              <w:t>Net income (loss)</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79,264</w:t>
            </w:r>
          </w:p>
        </w:tc>
        <w:tc>
          <w:tcPr>
            <w:tcW w:w="100" w:type="dxa"/>
            <w:vAlign w:val="bottom"/>
            <w:tcBorders>
              <w:bottom w:val="single" w:sz="8" w:color="CCEEFF"/>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45,260</w:t>
            </w:r>
          </w:p>
        </w:tc>
        <w:tc>
          <w:tcPr>
            <w:tcW w:w="100" w:type="dxa"/>
            <w:vAlign w:val="bottom"/>
            <w:tcBorders>
              <w:bottom w:val="single" w:sz="8" w:color="CCEEFF"/>
            </w:tcBorders>
          </w:tcPr>
          <w:p>
            <w:pPr>
              <w:spacing w:after="0"/>
              <w:rPr>
                <w:sz w:val="24"/>
                <w:szCs w:val="2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(51,763)</w:t>
            </w:r>
          </w:p>
        </w:tc>
      </w:tr>
      <w:tr>
        <w:trPr>
          <w:trHeight w:val="251"/>
        </w:trPr>
        <w:tc>
          <w:tcPr>
            <w:tcW w:w="4040" w:type="dxa"/>
            <w:vAlign w:val="bottom"/>
            <w:tcBorders>
              <w:bottom w:val="single" w:sz="8" w:color="CCEEFF"/>
            </w:tcBorders>
            <w:shd w:val="clear" w:color="auto" w:fill="CCEEFF"/>
          </w:tcPr>
          <w:p>
            <w:pPr>
              <w:ind w:left="920"/>
              <w:spacing w:after="0" w:line="203" w:lineRule="exact"/>
              <w:rPr>
                <w:sz w:val="20"/>
                <w:szCs w:val="20"/>
                <w:color w:val="auto"/>
              </w:rPr>
            </w:pPr>
            <w:r>
              <w:rPr>
                <w:rFonts w:ascii="Arial" w:cs="Arial" w:eastAsia="Arial" w:hAnsi="Arial"/>
                <w:sz w:val="18"/>
                <w:szCs w:val="18"/>
                <w:color w:val="auto"/>
              </w:rPr>
              <w:t>Regency's share of net income (loss)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23,807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9,643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w:t>
            </w:r>
          </w:p>
        </w:tc>
      </w:tr>
      <w:tr>
        <w:trPr>
          <w:trHeight w:val="20"/>
        </w:trPr>
        <w:tc>
          <w:tcPr>
            <w:tcW w:w="4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52" w:hanging="652"/>
        <w:spacing w:after="0"/>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Notes Receivable</w:t>
      </w:r>
    </w:p>
    <w:p>
      <w:pPr>
        <w:spacing w:after="0" w:line="171" w:lineRule="exact"/>
        <w:rPr>
          <w:rFonts w:ascii="Arial" w:cs="Arial" w:eastAsia="Arial" w:hAnsi="Arial"/>
          <w:sz w:val="18"/>
          <w:szCs w:val="18"/>
          <w:color w:val="auto"/>
        </w:rPr>
      </w:pPr>
    </w:p>
    <w:p>
      <w:pPr>
        <w:ind w:left="652"/>
        <w:spacing w:after="0" w:line="342" w:lineRule="auto"/>
        <w:rPr>
          <w:rFonts w:ascii="Arial" w:cs="Arial" w:eastAsia="Arial" w:hAnsi="Arial"/>
          <w:sz w:val="18"/>
          <w:szCs w:val="18"/>
          <w:color w:val="auto"/>
        </w:rPr>
      </w:pPr>
      <w:r>
        <w:rPr>
          <w:rFonts w:ascii="Arial" w:cs="Arial" w:eastAsia="Arial" w:hAnsi="Arial"/>
          <w:sz w:val="16"/>
          <w:szCs w:val="16"/>
          <w:color w:val="auto"/>
        </w:rPr>
        <w:t>The Company had notes receivable outstanding of $23.8 million and $35.8 million at December 31, 2012 and 2011, respectively. The loans have fixed interest rates ranging from 6.0% to 9.0% with maturity dates through January 2019 and are secured by real estate held as collateral.</w:t>
      </w:r>
    </w:p>
    <w:p>
      <w:pPr>
        <w:spacing w:after="0" w:line="123" w:lineRule="exact"/>
        <w:rPr>
          <w:rFonts w:ascii="Arial" w:cs="Arial" w:eastAsia="Arial" w:hAnsi="Arial"/>
          <w:sz w:val="18"/>
          <w:szCs w:val="18"/>
          <w:color w:val="auto"/>
        </w:rPr>
      </w:pPr>
    </w:p>
    <w:p>
      <w:pPr>
        <w:ind w:left="652" w:hanging="652"/>
        <w:spacing w:after="0"/>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Acquired Lease Intangibles</w:t>
      </w:r>
    </w:p>
    <w:p>
      <w:pPr>
        <w:spacing w:after="0" w:line="225" w:lineRule="exact"/>
        <w:rPr>
          <w:rFonts w:ascii="Arial" w:cs="Arial" w:eastAsia="Arial" w:hAnsi="Arial"/>
          <w:sz w:val="18"/>
          <w:szCs w:val="18"/>
          <w:color w:val="auto"/>
        </w:rPr>
      </w:pPr>
    </w:p>
    <w:p>
      <w:pPr>
        <w:ind w:left="652" w:right="320"/>
        <w:spacing w:after="0" w:line="277" w:lineRule="auto"/>
        <w:rPr>
          <w:rFonts w:ascii="Arial" w:cs="Arial" w:eastAsia="Arial" w:hAnsi="Arial"/>
          <w:sz w:val="18"/>
          <w:szCs w:val="18"/>
          <w:color w:val="auto"/>
        </w:rPr>
      </w:pPr>
      <w:r>
        <w:rPr>
          <w:rFonts w:ascii="Arial" w:cs="Arial" w:eastAsia="Arial" w:hAnsi="Arial"/>
          <w:sz w:val="18"/>
          <w:szCs w:val="18"/>
          <w:color w:val="auto"/>
        </w:rPr>
        <w:t>The Company had the following acquired lease intangibles, net of accumulated amortization and accretion, at December 31, 2012 and 2011, respectively (in thousands):</w:t>
      </w:r>
    </w:p>
    <w:p>
      <w:pPr>
        <w:spacing w:after="0" w:line="130" w:lineRule="exact"/>
        <w:rPr>
          <w:sz w:val="20"/>
          <w:szCs w:val="20"/>
          <w:color w:val="auto"/>
        </w:rPr>
      </w:pPr>
    </w:p>
    <w:tbl>
      <w:tblPr>
        <w:tblLayout w:type="fixed"/>
        <w:tblInd w:w="2292"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ind w:right="63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In-place leases, net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Above-market leases, net</w:t>
            </w: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Above-market ground leases, net</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Acquired lease intangible assets, net</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42,459</w:t>
            </w:r>
          </w:p>
        </w:tc>
        <w:tc>
          <w:tcPr>
            <w:tcW w:w="100" w:type="dxa"/>
            <w:vAlign w:val="bottom"/>
            <w:tcBorders>
              <w:bottom w:val="single" w:sz="8" w:color="CCEEFF"/>
            </w:tcBorders>
          </w:tcPr>
          <w:p>
            <w:pPr>
              <w:spacing w:after="0"/>
              <w:rPr>
                <w:sz w:val="24"/>
                <w:szCs w:val="2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27,054</w:t>
            </w:r>
          </w:p>
        </w:tc>
        <w:tc>
          <w:tcPr>
            <w:tcW w:w="0" w:type="dxa"/>
            <w:vAlign w:val="bottom"/>
          </w:tcPr>
          <w:p>
            <w:pPr>
              <w:spacing w:after="0"/>
              <w:rPr>
                <w:sz w:val="1"/>
                <w:szCs w:val="1"/>
                <w:color w:val="auto"/>
              </w:rPr>
            </w:pPr>
          </w:p>
        </w:tc>
      </w:tr>
      <w:tr>
        <w:trPr>
          <w:trHeight w:val="311"/>
        </w:trPr>
        <w:tc>
          <w:tcPr>
            <w:tcW w:w="3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20" w:type="dxa"/>
            <w:vAlign w:val="bottom"/>
          </w:tcPr>
          <w:p>
            <w:pPr>
              <w:ind w:left="260"/>
              <w:spacing w:after="0"/>
              <w:rPr>
                <w:sz w:val="20"/>
                <w:szCs w:val="20"/>
                <w:color w:val="auto"/>
              </w:rPr>
            </w:pPr>
            <w:r>
              <w:rPr>
                <w:rFonts w:ascii="Arial" w:cs="Arial" w:eastAsia="Arial" w:hAnsi="Arial"/>
                <w:sz w:val="18"/>
                <w:szCs w:val="18"/>
                <w:color w:val="auto"/>
                <w:w w:val="95"/>
              </w:rPr>
              <w:t>Acquired lease intangible liabilities, net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00" w:type="dxa"/>
            <w:vAlign w:val="bottom"/>
            <w:vMerge w:val="restart"/>
          </w:tcPr>
          <w:p>
            <w:pPr>
              <w:jc w:val="right"/>
              <w:ind w:right="232"/>
              <w:spacing w:after="0"/>
              <w:rPr>
                <w:sz w:val="20"/>
                <w:szCs w:val="20"/>
                <w:color w:val="auto"/>
              </w:rPr>
            </w:pPr>
            <w:r>
              <w:rPr>
                <w:rFonts w:ascii="Arial" w:cs="Arial" w:eastAsia="Arial" w:hAnsi="Arial"/>
                <w:sz w:val="18"/>
                <w:szCs w:val="18"/>
                <w:color w:val="auto"/>
              </w:rPr>
              <w:t>94</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72"/>
          </w:cols>
          <w:pgMar w:left="248" w:top="121" w:right="579" w:bottom="1440" w:gutter="0" w:footer="0" w:header="0"/>
        </w:sectPr>
      </w:pPr>
    </w:p>
    <w:bookmarkStart w:id="101" w:name="page102"/>
    <w:bookmarkEnd w:id="101"/>
    <w:p>
      <w:pPr>
        <w:jc w:val="center"/>
        <w:ind w:left="1280" w:right="17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summary of amortization and net accretion amounts from acquired lease intangibles for the years ended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2012, 2011, and 2010:</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In-place lease amortization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3780" w:type="dxa"/>
            <w:vAlign w:val="bottom"/>
          </w:tcPr>
          <w:p>
            <w:pPr>
              <w:spacing w:after="0"/>
              <w:rPr>
                <w:sz w:val="20"/>
                <w:szCs w:val="20"/>
                <w:color w:val="auto"/>
              </w:rPr>
            </w:pPr>
            <w:r>
              <w:rPr>
                <w:rFonts w:ascii="Arial" w:cs="Arial" w:eastAsia="Arial" w:hAnsi="Arial"/>
                <w:sz w:val="18"/>
                <w:szCs w:val="18"/>
                <w:color w:val="auto"/>
              </w:rPr>
              <w:t xml:space="preserve">Above-market lease amortization </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r>
      <w:tr>
        <w:trPr>
          <w:trHeight w:val="297"/>
        </w:trPr>
        <w:tc>
          <w:tcPr>
            <w:tcW w:w="3780" w:type="dxa"/>
            <w:vAlign w:val="bottom"/>
          </w:tcPr>
          <w:p>
            <w:pPr>
              <w:spacing w:after="0"/>
              <w:rPr>
                <w:sz w:val="20"/>
                <w:szCs w:val="20"/>
                <w:color w:val="auto"/>
              </w:rPr>
            </w:pPr>
            <w:r>
              <w:rPr>
                <w:rFonts w:ascii="Arial" w:cs="Arial" w:eastAsia="Arial" w:hAnsi="Arial"/>
                <w:sz w:val="18"/>
                <w:szCs w:val="18"/>
                <w:color w:val="auto"/>
              </w:rPr>
              <w:t xml:space="preserve">Above-market ground lease amortization </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w w:val="99"/>
              </w:rPr>
              <w:t>Acquired lease intangible asset amortization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33"/>
        </w:trPr>
        <w:tc>
          <w:tcPr>
            <w:tcW w:w="3780" w:type="dxa"/>
            <w:vAlign w:val="bottom"/>
          </w:tcPr>
          <w:p>
            <w:pPr>
              <w:ind w:left="240"/>
              <w:spacing w:after="0"/>
              <w:rPr>
                <w:sz w:val="20"/>
                <w:szCs w:val="20"/>
                <w:color w:val="auto"/>
              </w:rPr>
            </w:pPr>
            <w:r>
              <w:rPr>
                <w:rFonts w:ascii="Arial" w:cs="Arial" w:eastAsia="Arial" w:hAnsi="Arial"/>
                <w:sz w:val="18"/>
                <w:szCs w:val="18"/>
                <w:color w:val="auto"/>
                <w:w w:val="96"/>
              </w:rPr>
              <w:t xml:space="preserve">Acquired lease intangible liability accretion </w:t>
            </w:r>
            <w:r>
              <w:rPr>
                <w:rFonts w:ascii="Arial" w:cs="Arial" w:eastAsia="Arial" w:hAnsi="Arial"/>
                <w:sz w:val="25"/>
                <w:szCs w:val="25"/>
                <w:color w:val="auto"/>
                <w:w w:val="96"/>
                <w:vertAlign w:val="superscript"/>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5" w:lineRule="exact"/>
        <w:rPr>
          <w:sz w:val="20"/>
          <w:szCs w:val="20"/>
          <w:color w:val="auto"/>
        </w:rPr>
      </w:pPr>
    </w:p>
    <w:p>
      <w:pPr>
        <w:ind w:left="840" w:hanging="184"/>
        <w:spacing w:after="0"/>
        <w:tabs>
          <w:tab w:leader="none" w:pos="8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Amounts are recorded as a reduction to minimum rent.</w:t>
      </w:r>
    </w:p>
    <w:p>
      <w:pPr>
        <w:spacing w:after="0" w:line="1"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Amounts are recorded as an increase to minimum rent.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Weighted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2"/>
                <w:szCs w:val="12"/>
                <w:color w:val="auto"/>
              </w:rPr>
            </w:pPr>
          </w:p>
        </w:tc>
        <w:tc>
          <w:tcPr>
            <w:tcW w:w="150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2"/>
                <w:szCs w:val="12"/>
                <w:color w:val="auto"/>
              </w:rPr>
            </w:pPr>
          </w:p>
        </w:tc>
        <w:tc>
          <w:tcPr>
            <w:tcW w:w="14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Amortization/Accretion</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0"/>
        </w:trPr>
        <w:tc>
          <w:tcPr>
            <w:tcW w:w="1520" w:type="dxa"/>
            <w:vAlign w:val="bottom"/>
          </w:tcPr>
          <w:p>
            <w:pPr>
              <w:jc w:val="right"/>
              <w:ind w:right="315"/>
              <w:spacing w:after="0"/>
              <w:rPr>
                <w:sz w:val="20"/>
                <w:szCs w:val="20"/>
                <w:color w:val="auto"/>
              </w:rPr>
            </w:pPr>
            <w:r>
              <w:rPr>
                <w:rFonts w:ascii="Arial" w:cs="Arial" w:eastAsia="Arial" w:hAnsi="Arial"/>
                <w:sz w:val="13"/>
                <w:szCs w:val="13"/>
                <w:color w:val="auto"/>
              </w:rPr>
              <w:t>(in thousands)</w:t>
            </w:r>
          </w:p>
        </w:tc>
        <w:tc>
          <w:tcPr>
            <w:tcW w:w="220" w:type="dxa"/>
            <w:vAlign w:val="bottom"/>
          </w:tcPr>
          <w:p>
            <w:pPr>
              <w:spacing w:after="0"/>
              <w:rPr>
                <w:sz w:val="20"/>
                <w:szCs w:val="20"/>
                <w:color w:val="auto"/>
              </w:rPr>
            </w:pPr>
          </w:p>
        </w:tc>
        <w:tc>
          <w:tcPr>
            <w:tcW w:w="1500" w:type="dxa"/>
            <w:vAlign w:val="bottom"/>
          </w:tcPr>
          <w:p>
            <w:pPr>
              <w:jc w:val="right"/>
              <w:ind w:right="315"/>
              <w:spacing w:after="0"/>
              <w:rPr>
                <w:sz w:val="20"/>
                <w:szCs w:val="20"/>
                <w:color w:val="auto"/>
              </w:rPr>
            </w:pPr>
            <w:r>
              <w:rPr>
                <w:rFonts w:ascii="Arial" w:cs="Arial" w:eastAsia="Arial" w:hAnsi="Arial"/>
                <w:sz w:val="13"/>
                <w:szCs w:val="13"/>
                <w:color w:val="auto"/>
              </w:rPr>
              <w:t>(in thousands)</w:t>
            </w:r>
          </w:p>
        </w:tc>
        <w:tc>
          <w:tcPr>
            <w:tcW w:w="200" w:type="dxa"/>
            <w:vAlign w:val="bottom"/>
          </w:tcPr>
          <w:p>
            <w:pPr>
              <w:spacing w:after="0"/>
              <w:rPr>
                <w:sz w:val="20"/>
                <w:szCs w:val="20"/>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84"/>
              </w:rPr>
              <w:t>(in years)</w:t>
            </w:r>
          </w:p>
        </w:tc>
        <w:tc>
          <w:tcPr>
            <w:tcW w:w="0" w:type="dxa"/>
            <w:vAlign w:val="bottom"/>
          </w:tcPr>
          <w:p>
            <w:pPr>
              <w:spacing w:after="0"/>
              <w:rPr>
                <w:sz w:val="1"/>
                <w:szCs w:val="1"/>
                <w:color w:val="auto"/>
              </w:rPr>
            </w:pPr>
          </w:p>
        </w:tc>
      </w:tr>
      <w:tr>
        <w:trPr>
          <w:trHeight w:val="259"/>
        </w:trPr>
        <w:tc>
          <w:tcPr>
            <w:tcW w:w="1520" w:type="dxa"/>
            <w:vAlign w:val="bottom"/>
          </w:tcPr>
          <w:p>
            <w:pPr>
              <w:jc w:val="right"/>
              <w:ind w:right="35"/>
              <w:spacing w:after="0"/>
              <w:rPr>
                <w:sz w:val="20"/>
                <w:szCs w:val="20"/>
                <w:color w:val="auto"/>
              </w:rPr>
            </w:pPr>
            <w:r>
              <w:rPr>
                <w:rFonts w:ascii="Arial" w:cs="Arial" w:eastAsia="Arial" w:hAnsi="Arial"/>
                <w:sz w:val="18"/>
                <w:szCs w:val="18"/>
                <w:color w:val="auto"/>
              </w:rPr>
              <w:t>4,307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3,436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2,317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0"/>
        </w:trPr>
        <w:tc>
          <w:tcPr>
            <w:tcW w:w="1520" w:type="dxa"/>
            <w:vAlign w:val="bottom"/>
          </w:tcPr>
          <w:p>
            <w:pPr>
              <w:jc w:val="right"/>
              <w:ind w:right="35"/>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23"/>
                <w:szCs w:val="23"/>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3"/>
                <w:szCs w:val="23"/>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0"/>
        </w:trPr>
        <w:tc>
          <w:tcPr>
            <w:tcW w:w="1520" w:type="dxa"/>
            <w:vAlign w:val="bottom"/>
          </w:tcPr>
          <w:p>
            <w:pPr>
              <w:jc w:val="right"/>
              <w:ind w:right="35"/>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3"/>
                <w:szCs w:val="23"/>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3"/>
                <w:szCs w:val="23"/>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5,069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1,303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-1122680</wp:posOffset>
            </wp:positionV>
            <wp:extent cx="68262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262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-779780</wp:posOffset>
            </wp:positionV>
            <wp:extent cx="68262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262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-419735</wp:posOffset>
            </wp:positionV>
            <wp:extent cx="682625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26250" cy="222885"/>
                    </a:xfrm>
                    <a:prstGeom prst="rect">
                      <a:avLst/>
                    </a:prstGeom>
                    <a:noFill/>
                  </pic:spPr>
                </pic:pic>
              </a:graphicData>
            </a:graphic>
          </wp:anchor>
        </w:drawing>
      </w:r>
    </w:p>
    <w:p>
      <w:pPr>
        <w:spacing w:after="0" w:line="795" w:lineRule="exact"/>
        <w:rPr>
          <w:sz w:val="20"/>
          <w:szCs w:val="20"/>
          <w:color w:val="auto"/>
        </w:rPr>
      </w:pPr>
    </w:p>
    <w:p>
      <w:pPr>
        <w:sectPr>
          <w:pgSz w:w="11900" w:h="16838" w:orient="portrait"/>
          <w:cols w:equalWidth="0" w:num="2">
            <w:col w:w="4800" w:space="60"/>
            <w:col w:w="6560"/>
          </w:cols>
          <w:pgMar w:left="240" w:top="121"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estimated aggregate amortization and net accretion amounts from acquired lease intangibles for the next five years are as follows (in thousands):</w:t>
      </w:r>
    </w:p>
    <w:p>
      <w:pPr>
        <w:spacing w:after="0" w:line="190" w:lineRule="exact"/>
        <w:rPr>
          <w:sz w:val="20"/>
          <w:szCs w:val="20"/>
          <w:color w:val="auto"/>
        </w:rPr>
      </w:pPr>
    </w:p>
    <w:tbl>
      <w:tblPr>
        <w:tblLayout w:type="fixed"/>
        <w:tblInd w:w="31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Amortization</w:t>
            </w:r>
          </w:p>
        </w:tc>
        <w:tc>
          <w:tcPr>
            <w:tcW w:w="1540" w:type="dxa"/>
            <w:vAlign w:val="bottom"/>
          </w:tcPr>
          <w:p>
            <w:pPr>
              <w:spacing w:after="0"/>
              <w:rPr>
                <w:sz w:val="18"/>
                <w:szCs w:val="18"/>
                <w:color w:val="auto"/>
              </w:rPr>
            </w:pPr>
          </w:p>
        </w:tc>
      </w:tr>
      <w:tr>
        <w:trPr>
          <w:trHeight w:val="234"/>
        </w:trPr>
        <w:tc>
          <w:tcPr>
            <w:tcW w:w="258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Expense</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Accretion</w:t>
            </w:r>
          </w:p>
        </w:tc>
      </w:tr>
      <w:tr>
        <w:trPr>
          <w:trHeight w:val="27"/>
        </w:trPr>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jc w:val="right"/>
              <w:ind w:right="1970"/>
              <w:spacing w:after="0"/>
              <w:rPr>
                <w:sz w:val="20"/>
                <w:szCs w:val="20"/>
                <w:color w:val="auto"/>
              </w:rPr>
            </w:pPr>
            <w:r>
              <w:rPr>
                <w:rFonts w:ascii="Arial" w:cs="Arial" w:eastAsia="Arial" w:hAnsi="Arial"/>
                <w:sz w:val="18"/>
                <w:szCs w:val="18"/>
                <w:color w:val="auto"/>
                <w:w w:val="94"/>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43"/>
        </w:trPr>
        <w:tc>
          <w:tcPr>
            <w:tcW w:w="2460" w:type="dxa"/>
            <w:vAlign w:val="bottom"/>
          </w:tcPr>
          <w:p>
            <w:pPr>
              <w:jc w:val="right"/>
              <w:ind w:right="1970"/>
              <w:spacing w:after="0"/>
              <w:rPr>
                <w:sz w:val="20"/>
                <w:szCs w:val="20"/>
                <w:color w:val="auto"/>
              </w:rPr>
            </w:pPr>
            <w:r>
              <w:rPr>
                <w:rFonts w:ascii="Arial" w:cs="Arial" w:eastAsia="Arial" w:hAnsi="Arial"/>
                <w:sz w:val="18"/>
                <w:szCs w:val="18"/>
                <w:color w:val="auto"/>
                <w:w w:val="94"/>
              </w:rPr>
              <w:t>2014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1,588</w:t>
            </w: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jc w:val="right"/>
              <w:ind w:right="1970"/>
              <w:spacing w:after="0"/>
              <w:rPr>
                <w:sz w:val="20"/>
                <w:szCs w:val="20"/>
                <w:color w:val="auto"/>
              </w:rPr>
            </w:pPr>
            <w:r>
              <w:rPr>
                <w:rFonts w:ascii="Arial" w:cs="Arial" w:eastAsia="Arial" w:hAnsi="Arial"/>
                <w:sz w:val="18"/>
                <w:szCs w:val="18"/>
                <w:color w:val="auto"/>
                <w:w w:val="94"/>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43"/>
        </w:trPr>
        <w:tc>
          <w:tcPr>
            <w:tcW w:w="2460" w:type="dxa"/>
            <w:vAlign w:val="bottom"/>
          </w:tcPr>
          <w:p>
            <w:pPr>
              <w:jc w:val="right"/>
              <w:ind w:right="1970"/>
              <w:spacing w:after="0"/>
              <w:rPr>
                <w:sz w:val="20"/>
                <w:szCs w:val="20"/>
                <w:color w:val="auto"/>
              </w:rPr>
            </w:pPr>
            <w:r>
              <w:rPr>
                <w:rFonts w:ascii="Arial" w:cs="Arial" w:eastAsia="Arial" w:hAnsi="Arial"/>
                <w:sz w:val="18"/>
                <w:szCs w:val="18"/>
                <w:color w:val="auto"/>
                <w:w w:val="94"/>
              </w:rPr>
              <w:t>2016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246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w w:val="94"/>
              </w:rPr>
              <w:t>2017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5"/>
          <w:szCs w:val="15"/>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tax status of dividends paid on our common shares during the respective years:</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Arial" w:cs="Arial" w:eastAsia="Arial" w:hAnsi="Arial"/>
                <w:sz w:val="16"/>
                <w:szCs w:val="16"/>
                <w:b w:val="1"/>
                <w:bCs w:val="1"/>
                <w:color w:val="auto"/>
              </w:rPr>
              <w:t>2010</w:t>
            </w:r>
          </w:p>
        </w:tc>
      </w:tr>
      <w:tr>
        <w:trPr>
          <w:trHeight w:val="33"/>
        </w:trPr>
        <w:tc>
          <w:tcPr>
            <w:tcW w:w="26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per share</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1.85</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1.85</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Ordinary income</w:t>
            </w:r>
          </w:p>
        </w:tc>
        <w:tc>
          <w:tcPr>
            <w:tcW w:w="1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gain</w:t>
            </w:r>
          </w:p>
        </w:tc>
        <w:tc>
          <w:tcPr>
            <w:tcW w:w="1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1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RRG is subject to federal and state income taxes and files separate tax returns. Income tax expense consists of the following for the years ended</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December 31, 2012, 2011, and 2010 (in thousands):</w:t>
      </w:r>
    </w:p>
    <w:p>
      <w:pPr>
        <w:spacing w:after="0" w:line="171" w:lineRule="exact"/>
        <w:rPr>
          <w:sz w:val="20"/>
          <w:szCs w:val="20"/>
          <w:color w:val="auto"/>
        </w:rPr>
      </w:pPr>
    </w:p>
    <w:tbl>
      <w:tblPr>
        <w:tblLayout w:type="fixed"/>
        <w:tblInd w:w="180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57"/>
        </w:trPr>
        <w:tc>
          <w:tcPr>
            <w:tcW w:w="3300" w:type="dxa"/>
            <w:vAlign w:val="bottom"/>
          </w:tcPr>
          <w:p>
            <w:pPr>
              <w:ind w:left="280"/>
              <w:spacing w:after="0"/>
              <w:rPr>
                <w:sz w:val="20"/>
                <w:szCs w:val="20"/>
                <w:color w:val="auto"/>
              </w:rPr>
            </w:pPr>
            <w:r>
              <w:rPr>
                <w:rFonts w:ascii="Arial" w:cs="Arial" w:eastAsia="Arial" w:hAnsi="Arial"/>
                <w:sz w:val="18"/>
                <w:szCs w:val="18"/>
                <w:color w:val="auto"/>
              </w:rPr>
              <w:t>Total income tax expense (benefit)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13,824</w:t>
            </w:r>
          </w:p>
        </w:tc>
        <w:tc>
          <w:tcPr>
            <w:tcW w:w="24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24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60" w:type="dxa"/>
            <w:vAlign w:val="bottom"/>
            <w:vMerge w:val="restart"/>
          </w:tcPr>
          <w:p>
            <w:pPr>
              <w:jc w:val="right"/>
              <w:ind w:right="470"/>
              <w:spacing w:after="0"/>
              <w:rPr>
                <w:sz w:val="20"/>
                <w:szCs w:val="20"/>
                <w:color w:val="auto"/>
              </w:rPr>
            </w:pPr>
            <w:r>
              <w:rPr>
                <w:rFonts w:ascii="Arial" w:cs="Arial" w:eastAsia="Arial" w:hAnsi="Arial"/>
                <w:sz w:val="18"/>
                <w:szCs w:val="18"/>
                <w:color w:val="auto"/>
              </w:rPr>
              <w:t>95</w:t>
            </w: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102" w:name="page103"/>
    <w:bookmarkEnd w:id="102"/>
    <w:p>
      <w:pPr>
        <w:jc w:val="center"/>
        <w:ind w:right="5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tax expense (benefit) is included in either income tax expense (benefit) of taxable REIT subsidiaries, if the related income is from continuing operations, or is included in operating income from discontinued operations, if from discontinued operations, on the Consolidated Statements of Operations as follows for the years ended December 31, 2012, 2011, and 2010 (in thousands):</w:t>
      </w:r>
    </w:p>
    <w:p>
      <w:pPr>
        <w:spacing w:after="0" w:line="141"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2010</w:t>
            </w:r>
          </w:p>
        </w:tc>
      </w:tr>
      <w:tr>
        <w:trPr>
          <w:trHeight w:val="33"/>
        </w:trPr>
        <w:tc>
          <w:tcPr>
            <w:tcW w:w="3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w:t>
            </w: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13,224</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2,994</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27"/>
        </w:trPr>
        <w:tc>
          <w:tcPr>
            <w:tcW w:w="3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8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57"/>
        </w:trPr>
        <w:tc>
          <w:tcPr>
            <w:tcW w:w="3400" w:type="dxa"/>
            <w:vAlign w:val="bottom"/>
          </w:tcPr>
          <w:p>
            <w:pPr>
              <w:ind w:left="260"/>
              <w:spacing w:after="0"/>
              <w:rPr>
                <w:sz w:val="20"/>
                <w:szCs w:val="20"/>
                <w:color w:val="auto"/>
              </w:rPr>
            </w:pPr>
            <w:r>
              <w:rPr>
                <w:rFonts w:ascii="Arial" w:cs="Arial" w:eastAsia="Arial" w:hAnsi="Arial"/>
                <w:sz w:val="18"/>
                <w:szCs w:val="18"/>
                <w:color w:val="auto"/>
              </w:rPr>
              <w:t>Total income tax expense (benefit)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13,824</w:t>
            </w:r>
          </w:p>
        </w:tc>
        <w:tc>
          <w:tcPr>
            <w:tcW w:w="2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2,705</w:t>
            </w:r>
          </w:p>
        </w:tc>
        <w:tc>
          <w:tcPr>
            <w:tcW w:w="2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r>
        <w:trPr>
          <w:trHeight w:val="20"/>
        </w:trPr>
        <w:tc>
          <w:tcPr>
            <w:tcW w:w="3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Income tax expense (benefit) differed from the amounts computed by applying the U.S. Federal income tax rate of 34% to pretax income from continuing operations of RRG for the years ended December 31, 2012, 2011, and 2010, respectively as follows (in thousands):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48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(benefit) expense</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w w:val="98"/>
              </w:rPr>
              <w:t>(Decrease) increase in income tax resulting from state taxes</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4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All other items</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27"/>
        </w:trPr>
        <w:tc>
          <w:tcPr>
            <w:tcW w:w="48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income tax expense (benefit)</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Amounts attributable to discontinued operations</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48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attributable to continuing operations</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13,224</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40"/>
        <w:spacing w:after="0" w:line="297" w:lineRule="auto"/>
        <w:rPr>
          <w:sz w:val="20"/>
          <w:szCs w:val="20"/>
          <w:color w:val="auto"/>
        </w:rPr>
      </w:pPr>
      <w:r>
        <w:rPr>
          <w:rFonts w:ascii="Arial" w:cs="Arial" w:eastAsia="Arial" w:hAnsi="Arial"/>
          <w:sz w:val="16"/>
          <w:szCs w:val="16"/>
          <w:color w:val="auto"/>
        </w:rPr>
        <w:t>For 2012, all other items principally represent permanent differences related to deferred compensation and meals and entertainment. For 2011, all other items principally represent permanent differences related to impairments and the effect of the change in state tax rate. For 2010, all other items principally represent straight line rents. Included in the income tax expense (benefit) disclosed above, the Company has approximately $600,000 of state income tax expense at the Operating Partnership for the Texas Gross Margin Tax recorded in income tax expense (benefit) of taxable REIT subsidiaries in the accompanying Consolidated Statements of Operations for each of the years ended December 31, 2012, 2011, and 2010.</w:t>
      </w: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60"/>
          </w:cols>
          <w:pgMar w:left="860" w:top="121" w:right="279" w:bottom="1440" w:gutter="0" w:footer="0" w:header="0"/>
        </w:sectPr>
      </w:pPr>
    </w:p>
    <w:bookmarkStart w:id="103" w:name="page104"/>
    <w:bookmarkEnd w:id="103"/>
    <w:p>
      <w:pPr>
        <w:jc w:val="center"/>
        <w:ind w:right="5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right="1040"/>
        <w:spacing w:after="0" w:line="277" w:lineRule="auto"/>
        <w:rPr>
          <w:sz w:val="20"/>
          <w:szCs w:val="20"/>
          <w:color w:val="auto"/>
        </w:rPr>
      </w:pPr>
      <w:r>
        <w:rPr>
          <w:rFonts w:ascii="Arial" w:cs="Arial" w:eastAsia="Arial" w:hAnsi="Arial"/>
          <w:sz w:val="18"/>
          <w:szCs w:val="18"/>
          <w:color w:val="auto"/>
        </w:rPr>
        <w:t>The following table represents the Company's net deferred tax assets as of December 31, 2012 and 2011 recorded in other assets in the accompanying Consolidated Balance Sheets (in thousands):</w:t>
      </w:r>
    </w:p>
    <w:p>
      <w:pPr>
        <w:spacing w:after="0" w:line="329"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34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160"/>
              <w:spacing w:after="0"/>
              <w:rPr>
                <w:sz w:val="20"/>
                <w:szCs w:val="20"/>
                <w:color w:val="auto"/>
              </w:rPr>
            </w:pPr>
            <w:r>
              <w:rPr>
                <w:rFonts w:ascii="Arial" w:cs="Arial" w:eastAsia="Arial" w:hAnsi="Arial"/>
                <w:sz w:val="18"/>
                <w:szCs w:val="18"/>
                <w:color w:val="auto"/>
              </w:rPr>
              <w:t>Investments in real estate partnerships</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8,116</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8,124</w:t>
            </w: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impairment</w:t>
            </w: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r>
      <w:tr>
        <w:trPr>
          <w:trHeight w:val="243"/>
        </w:trPr>
        <w:tc>
          <w:tcPr>
            <w:tcW w:w="3480" w:type="dxa"/>
            <w:vAlign w:val="bottom"/>
          </w:tcPr>
          <w:p>
            <w:pPr>
              <w:ind w:left="160"/>
              <w:spacing w:after="0"/>
              <w:rPr>
                <w:sz w:val="20"/>
                <w:szCs w:val="20"/>
                <w:color w:val="auto"/>
              </w:rPr>
            </w:pPr>
            <w:r>
              <w:rPr>
                <w:rFonts w:ascii="Arial" w:cs="Arial" w:eastAsia="Arial" w:hAnsi="Arial"/>
                <w:sz w:val="18"/>
                <w:szCs w:val="18"/>
                <w:color w:val="auto"/>
              </w:rPr>
              <w:t>Deferred interest expense</w:t>
            </w: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4,507</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4,507</w:t>
            </w: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Capitalized costs under Section 263A</w:t>
            </w: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r>
      <w:tr>
        <w:trPr>
          <w:trHeight w:val="243"/>
        </w:trPr>
        <w:tc>
          <w:tcPr>
            <w:tcW w:w="3480" w:type="dxa"/>
            <w:vAlign w:val="bottom"/>
          </w:tcPr>
          <w:p>
            <w:pPr>
              <w:ind w:left="160"/>
              <w:spacing w:after="0"/>
              <w:rPr>
                <w:sz w:val="20"/>
                <w:szCs w:val="20"/>
                <w:color w:val="auto"/>
              </w:rPr>
            </w:pPr>
            <w:r>
              <w:rPr>
                <w:rFonts w:ascii="Arial" w:cs="Arial" w:eastAsia="Arial" w:hAnsi="Arial"/>
                <w:sz w:val="18"/>
                <w:szCs w:val="18"/>
                <w:color w:val="auto"/>
              </w:rPr>
              <w:t>Net operating loss carryforward</w:t>
            </w: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Employee benefits</w:t>
            </w: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43"/>
        </w:trPr>
        <w:tc>
          <w:tcPr>
            <w:tcW w:w="3480" w:type="dxa"/>
            <w:vAlign w:val="bottom"/>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791</w:t>
            </w:r>
          </w:p>
        </w:tc>
      </w:tr>
      <w:tr>
        <w:trPr>
          <w:trHeight w:val="27"/>
        </w:trPr>
        <w:tc>
          <w:tcPr>
            <w:tcW w:w="34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23,233</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22,260</w:t>
            </w: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8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(22,114)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(6,479)</w:t>
            </w:r>
          </w:p>
        </w:tc>
      </w:tr>
      <w:tr>
        <w:trPr>
          <w:trHeight w:val="27"/>
        </w:trPr>
        <w:tc>
          <w:tcPr>
            <w:tcW w:w="34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 net</w:t>
            </w: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15,781</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Straight line rent</w:t>
            </w: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r>
      <w:tr>
        <w:trPr>
          <w:trHeight w:val="243"/>
        </w:trPr>
        <w:tc>
          <w:tcPr>
            <w:tcW w:w="34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34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w:t>
            </w:r>
          </w:p>
        </w:tc>
        <w:tc>
          <w:tcPr>
            <w:tcW w:w="8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r>
      <w:tr>
        <w:trPr>
          <w:trHeight w:val="257"/>
        </w:trPr>
        <w:tc>
          <w:tcPr>
            <w:tcW w:w="3480" w:type="dxa"/>
            <w:vAlign w:val="bottom"/>
          </w:tcPr>
          <w:p>
            <w:pPr>
              <w:ind w:left="580"/>
              <w:spacing w:after="0"/>
              <w:rPr>
                <w:sz w:val="20"/>
                <w:szCs w:val="20"/>
                <w:color w:val="auto"/>
              </w:rPr>
            </w:pPr>
            <w:r>
              <w:rPr>
                <w:rFonts w:ascii="Arial" w:cs="Arial" w:eastAsia="Arial" w:hAnsi="Arial"/>
                <w:sz w:val="18"/>
                <w:szCs w:val="18"/>
                <w:color w:val="auto"/>
              </w:rPr>
              <w:t>Net deferred tax assets</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13,727</w:t>
            </w: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2012 and 2011, the net change in the total valuation allowance was $15.6 million and $1.4 million, respectfully. The Company has federal and state net operating loss carryforwards totaling $2.9 million, which expire between 2027 and 2032.</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evaluation of the recoverability of the deferred tax assets and the need for a valuation allowance requires the Company to weigh all positive and negative evidence to reach a conclusion that it is more likely than not that all or some portion of the deferred tax assets will not be realized. The Company's framework for assessing the recoverability of deferred tax assets includes weighing recent taxable income (loss), projected future taxable income (loss) of the character necessary to realize the deferred tax assets, the carryforward periods for the net operating loss, including the effect of reversing taxable temporary differences, and prudent feasible tax planning strategies that would be implemented, if necessary, to protect against the loss of deferred tax assets. At December 31, 2012, the cumulative history of taxable losses and projected future taxable income within the TRS caused the Company to determine that it is more likely than not that the net deferred tax assets will not be realized. As a result, a valuation allowance has been established for the entire amount of the deferred tax asset.</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accounts for uncertainties in income tax law in accordance with FASB ASC Topic 740, under which tax positions shall initially be recognized in the financial statements when it is more likely than not the position will be sustained upon examination by the tax authorities. Such tax positions shall initially and subsequently be measured as the largest amount of tax benefit that has a greater than 50% likelihood of being realized upon ultimate settlement with the tax authority assuming full knowledge of the position and relevant facts. The Company believes that it has appropriate support for the income tax positions taken and to be taken on its tax returns and that its accruals for tax liabilities are adequate for all open tax years based on an assessment of many factors including past experience and interpretations of tax laws applied to the facts of each matter. Federal and state tax returns are open from 2009 and forward for the Company.</w:t>
      </w:r>
    </w:p>
    <w:p>
      <w:pPr>
        <w:spacing w:after="0" w:line="200" w:lineRule="exact"/>
        <w:rPr>
          <w:sz w:val="20"/>
          <w:szCs w:val="20"/>
          <w:color w:val="auto"/>
        </w:rPr>
      </w:pP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760"/>
          </w:cols>
          <w:pgMar w:left="860" w:top="121" w:right="279" w:bottom="1440" w:gutter="0" w:footer="0" w:header="0"/>
        </w:sectPr>
      </w:pPr>
    </w:p>
    <w:bookmarkStart w:id="104" w:name="page105"/>
    <w:bookmarkEnd w:id="104"/>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Notes Payable and Unsecured Credit Facilities</w:t>
      </w:r>
    </w:p>
    <w:p>
      <w:pPr>
        <w:spacing w:after="0" w:line="171"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Parent Company does not have any indebtedness, but guarantees all of the unsecured debt and 17.6% of the secured debt of the Operating Partnership.</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Payable</w:t>
      </w:r>
    </w:p>
    <w:p>
      <w:pPr>
        <w:spacing w:after="0" w:line="171" w:lineRule="exact"/>
        <w:rPr>
          <w:sz w:val="20"/>
          <w:szCs w:val="20"/>
          <w:color w:val="auto"/>
        </w:rPr>
      </w:pPr>
    </w:p>
    <w:p>
      <w:pPr>
        <w:jc w:val="both"/>
        <w:ind w:left="660" w:right="220"/>
        <w:spacing w:after="0" w:line="288" w:lineRule="auto"/>
        <w:rPr>
          <w:sz w:val="20"/>
          <w:szCs w:val="20"/>
          <w:color w:val="auto"/>
        </w:rPr>
      </w:pPr>
      <w:r>
        <w:rPr>
          <w:rFonts w:ascii="Arial" w:cs="Arial" w:eastAsia="Arial" w:hAnsi="Arial"/>
          <w:sz w:val="16"/>
          <w:szCs w:val="16"/>
          <w:color w:val="auto"/>
        </w:rPr>
        <w:t>Notes payable consist of mortgage loans secured by properties and unsecured public debt. Mortgage loans may be prepaid, but could be subject to yield maintenance premiums. Mortgage loans are generally due in monthly installments of principal and interest or interest only and mature over various terms through 2028, whereas, interest on unsecured public debt is payable semi-annually and matures over various terms through 2021.</w:t>
      </w:r>
    </w:p>
    <w:p>
      <w:pPr>
        <w:ind w:left="660" w:right="140"/>
        <w:spacing w:after="0" w:line="273" w:lineRule="auto"/>
        <w:rPr>
          <w:sz w:val="20"/>
          <w:szCs w:val="20"/>
          <w:color w:val="auto"/>
        </w:rPr>
      </w:pPr>
      <w:r>
        <w:rPr>
          <w:rFonts w:ascii="Arial" w:cs="Arial" w:eastAsia="Arial" w:hAnsi="Arial"/>
          <w:sz w:val="17"/>
          <w:szCs w:val="17"/>
          <w:color w:val="auto"/>
        </w:rPr>
        <w:t>Fixed interest rates on mortgage loans range from 5.22% to 8.40% with a weighted average rate of 6.30%. Fixed interest rates on unsecured public debt range from 4.80% to 6.00% with a weighted average rate of 5.46%. As of December 31, 2012, the Company had two variable rate mortgage loans, one in the amount of $9.0 million with a variable interest rate of LIBOR plus 160 basis points maturing on September 1, 2014 and one in the amount of $3.0 million with a variable interest rate equal to LIBOR plus 380 basis points maturing on October 1, 2014.</w:t>
      </w:r>
    </w:p>
    <w:p>
      <w:pPr>
        <w:spacing w:after="0" w:line="123"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On January 15, 2012, the Company repaid the maturing balance of $192.4 million of 6.75% ten-year unsecured notes. The Company assumed debt, net of premiums, of $12.8 million and $17.7 million in connection with the acquisition of Grand Ridge Plaza on June 21, 2012 and Sandy Springs on December 21, 2012, respectively.</w:t>
      </w:r>
    </w:p>
    <w:p>
      <w:pPr>
        <w:spacing w:after="0" w:line="127"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The Company is required to comply with certain financial covenants for its unsecured public debt as defined in the indenture agreements such as the following ratios: Consolidated Debt to Consolidated Assets, Consolidated Secured Debt to Consolidated Assets, Consolidated Income for Debt Service to Consolidated Debt Service, and Unencumbered Consolidated Assets to Unsecured Consolidated Debt. As of December 31, 2012, management of the Company believes it is in compliance with all financial covenants for its unsecured public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Unsecured Credit Facilities</w:t>
      </w:r>
    </w:p>
    <w:p>
      <w:pPr>
        <w:spacing w:after="0" w:line="171"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Company has an $800.0 million unsecured line of credit (the "Line") commitment under an agreement (the "Credit Agreement") with Wells Fargo Bank and a syndicate of other banks, which was amended on September 13, 2012 to increase the borrowing capacity by $200.0 million to a total of $800.0 million. The maturity date was extended by one year, and the Line will expire in September 2016, subject to a one-year extension at the Company's option. The amended Line bears interest at an annual rate of LIBOR plus 117.5 basis points and a facility fee of 22.5 basis points, subject to adjustment based on the higher of the Company's corporate credit ratings from Moody's and S&amp;P. In addition, the Company has the ability to increase the Line through an accordion feature to $1.0 billion. Borrowing capacity is reduced by the balance of outstanding borrowings and commitments under outstanding letters of credit. The balance on the Line was $70.0 million and $40.0 million at December 31, 2012 and 2011, respectively. The proceeds from the Line are used to finance the acquisition and development of real estate and for general working-capital purposes.</w:t>
      </w:r>
    </w:p>
    <w:p>
      <w:pPr>
        <w:spacing w:after="0" w:line="112"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Company is required to comply with certain financial covenants as defined in the Credit Agreement such as Minimum Tangible Net Worth, Ratio of Indebtedness to Total Asset Value ("TAV"), Ratio of Unsecured Indebtedness to Unencumbered Asset Value, Ratio of Adjusted Earnings Before Interest Taxes Depreciation and Amortization (“EBITDA”) to Fixed Charges, Ratio of Secured Indebtedness to TAV, Ratio of Unencumbered Net Operating Income to Unsecured Interest Expense, and other covenants customary with this type of unsecured financing. As of December 31, 2012, management of the Company believes it is in compliance with all financial covenants for the Line.</w:t>
      </w:r>
    </w:p>
    <w:p>
      <w:pPr>
        <w:spacing w:after="0" w:line="119"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On November 17, 2011, the Company entered into an unsecured term loan (the "Term Loan") commitment under an agreement (the "Term Loan Agreement") with Wells Fargo Bank and a syndicate of other banks, which matures on December 15, 2016. During 2012, the Company borrowed the $250.0 million available under the Term Loan and repaid $150.0 million, which resulted in the Company writing-off approximately $852,000 in loan costs and reducing the remaining commitment to $100.0 million. There was $100.0 million and no balance outstanding on the Term Loan as of December 31, 2012 and December 31, 2011, respectively. The Term Loan has a variable interest rate of LIBOR plus 145 basis points subject to Regency maintaining its corporate credit and senior unsecured ratings at BBB. In addition, the Company has the ability to increase the Term Loan up to an amount not to exceed an additional $150.0 million subject to the provisions of the Term Loan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1" w:right="259" w:bottom="1440" w:gutter="0" w:footer="0" w:header="0"/>
        </w:sectPr>
      </w:pPr>
    </w:p>
    <w:bookmarkStart w:id="105" w:name="page106"/>
    <w:bookmarkEnd w:id="105"/>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Term Loan includes financial covenants relating to minimum tangible net worth, ratio of indebtedness to total asset value, ratio of unsecured indebtedness to unencumbered asset value, ratio of adjusted EBITDA to fixed charges, ratio of secured indebtedness to total asset value, and ratio of unencumbered NOI to unsecured interest expense. The Term Loan also includes customary events of default for agreements of this type (with customary grace periods, as applicable). As of December 31, 2012, management of the Company believes it is in compliance with all financial covenants for its Term Loan.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debt at December 31, 2012 and 2011 consists of the following (in thousands):</w:t>
      </w:r>
    </w:p>
    <w:p>
      <w:pPr>
        <w:spacing w:after="0" w:line="230"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3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Fixed rate mortgage loans</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461,914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439,880</w:t>
            </w:r>
          </w:p>
        </w:tc>
      </w:tr>
      <w:tr>
        <w:trPr>
          <w:trHeight w:val="27"/>
        </w:trPr>
        <w:tc>
          <w:tcPr>
            <w:tcW w:w="3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Variable rate mortgage loans</w:t>
            </w:r>
          </w:p>
        </w:tc>
        <w:tc>
          <w:tcPr>
            <w:tcW w:w="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12,665</w:t>
            </w: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Fixed rate unsecured loans</w:t>
            </w:r>
          </w:p>
        </w:tc>
        <w:tc>
          <w:tcPr>
            <w:tcW w:w="9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1,297,936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1,489,895</w:t>
            </w:r>
          </w:p>
        </w:tc>
      </w:tr>
      <w:tr>
        <w:trPr>
          <w:trHeight w:val="27"/>
        </w:trPr>
        <w:tc>
          <w:tcPr>
            <w:tcW w:w="3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notes payable</w:t>
            </w:r>
          </w:p>
        </w:tc>
        <w:tc>
          <w:tcPr>
            <w:tcW w:w="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1,771,891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1,942,440</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Unsecured credit facilities</w:t>
            </w:r>
          </w:p>
        </w:tc>
        <w:tc>
          <w:tcPr>
            <w:tcW w:w="9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3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33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1,941,891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1,982,440</w:t>
            </w:r>
          </w:p>
        </w:tc>
      </w:tr>
      <w:tr>
        <w:trPr>
          <w:trHeight w:val="20"/>
        </w:trPr>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scheduled principal payments and maturities on notes payable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Scheduled</w:t>
            </w: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Mortgage Loan</w:t>
            </w: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Unsecured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Scheduled Principal Payments and Maturities by Year:</w:t>
            </w:r>
          </w:p>
        </w:tc>
        <w:tc>
          <w:tcPr>
            <w:tcW w:w="20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Maturities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26,999</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184,382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418,181</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189,648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488,959</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Beyond 5 Years</w:t>
            </w: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20,021</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212,743</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632,764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premiums (discounts), net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51,093</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422,862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1,467,936</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1,941,891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860" w:hanging="182"/>
        <w:spacing w:after="0"/>
        <w:tabs>
          <w:tab w:leader="none" w:pos="86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Includes unsecured public debt and unsecured credit facilities balances outstanding at December 31, 2012.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continuously monitors the capital markets and evaluates its ability to issue new debt to repay maturing debt or fund its commitments. Based upon the current capital markets, the Company's current credit ratings, and the number of high quality, unencumbered properties that it owns which could collateralize borrowings, the Company expects that it will successfully issue new secured or unsecured debt to fund its obligations.</w:t>
      </w:r>
    </w:p>
    <w:p>
      <w:pPr>
        <w:spacing w:after="0" w:line="33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760"/>
          </w:cols>
          <w:pgMar w:left="900" w:top="121" w:right="239" w:bottom="1440" w:gutter="0" w:footer="0" w:header="0"/>
        </w:sectPr>
      </w:pPr>
    </w:p>
    <w:bookmarkStart w:id="106" w:name="page107"/>
    <w:bookmarkEnd w:id="106"/>
    <w:p>
      <w:pPr>
        <w:jc w:val="center"/>
        <w:ind w:left="320" w:right="27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Derivative Financial Instruments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and fair values of the Company's derivative financial instruments, as well as their classification on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at December 31, 2012 and 2011 (in thousands):</w:t>
      </w:r>
    </w:p>
    <w:p>
      <w:pPr>
        <w:spacing w:after="0" w:line="216"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8"/>
              </w:rPr>
              <w:t>Fair Value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vMerge w:val="restart"/>
          </w:tcPr>
          <w:p>
            <w:pPr>
              <w:spacing w:after="0"/>
              <w:rPr>
                <w:sz w:val="12"/>
                <w:szCs w:val="12"/>
                <w:color w:val="auto"/>
              </w:rPr>
            </w:pPr>
          </w:p>
        </w:tc>
        <w:tc>
          <w:tcPr>
            <w:tcW w:w="17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2"/>
                <w:szCs w:val="12"/>
                <w:color w:val="auto"/>
              </w:rPr>
            </w:pPr>
          </w:p>
        </w:tc>
        <w:tc>
          <w:tcPr>
            <w:tcW w:w="106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Notional</w:t>
            </w:r>
          </w:p>
        </w:tc>
        <w:tc>
          <w:tcPr>
            <w:tcW w:w="16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Bank Pays Variable</w:t>
            </w:r>
          </w:p>
        </w:tc>
        <w:tc>
          <w:tcPr>
            <w:tcW w:w="11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Regency Pays</w:t>
            </w:r>
          </w:p>
        </w:tc>
        <w:tc>
          <w:tcPr>
            <w:tcW w:w="9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5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Rate of</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Fixed Rate of</w:t>
            </w: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15, 2014</w:t>
            </w:r>
          </w:p>
        </w:tc>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15,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3 Month LIBOR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April 15, 2014</w:t>
            </w:r>
          </w:p>
        </w:tc>
        <w:tc>
          <w:tcPr>
            <w:tcW w:w="1760" w:type="dxa"/>
            <w:vAlign w:val="bottom"/>
          </w:tcPr>
          <w:p>
            <w:pPr>
              <w:ind w:left="20"/>
              <w:spacing w:after="0"/>
              <w:rPr>
                <w:sz w:val="20"/>
                <w:szCs w:val="20"/>
                <w:color w:val="auto"/>
              </w:rPr>
            </w:pPr>
            <w:r>
              <w:rPr>
                <w:rFonts w:ascii="Arial" w:cs="Arial" w:eastAsia="Arial" w:hAnsi="Arial"/>
                <w:sz w:val="18"/>
                <w:szCs w:val="18"/>
                <w:color w:val="auto"/>
              </w:rPr>
              <w:t>April 15, 2024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1"/>
                <w:szCs w:val="21"/>
                <w:color w:val="auto"/>
              </w:rPr>
            </w:pP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3 Month LIBOR</w:t>
            </w:r>
          </w:p>
        </w:tc>
        <w:tc>
          <w:tcPr>
            <w:tcW w:w="108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 2015</w:t>
            </w:r>
          </w:p>
        </w:tc>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1,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3 Month LIBOR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August 1, 2015</w:t>
            </w:r>
          </w:p>
        </w:tc>
        <w:tc>
          <w:tcPr>
            <w:tcW w:w="1760" w:type="dxa"/>
            <w:vAlign w:val="bottom"/>
          </w:tcPr>
          <w:p>
            <w:pPr>
              <w:ind w:left="20"/>
              <w:spacing w:after="0"/>
              <w:rPr>
                <w:sz w:val="20"/>
                <w:szCs w:val="20"/>
                <w:color w:val="auto"/>
              </w:rPr>
            </w:pPr>
            <w:r>
              <w:rPr>
                <w:rFonts w:ascii="Arial" w:cs="Arial" w:eastAsia="Arial" w:hAnsi="Arial"/>
                <w:sz w:val="18"/>
                <w:szCs w:val="18"/>
                <w:color w:val="auto"/>
              </w:rPr>
              <w:t>August 1, 2025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1"/>
                <w:szCs w:val="21"/>
                <w:color w:val="auto"/>
              </w:rPr>
            </w:pP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3 Month LIBOR</w:t>
            </w:r>
          </w:p>
        </w:tc>
        <w:tc>
          <w:tcPr>
            <w:tcW w:w="108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 2015</w:t>
            </w:r>
          </w:p>
        </w:tc>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1,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3 Month LIBOR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96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Assets</w:t>
            </w:r>
          </w:p>
        </w:tc>
        <w:tc>
          <w:tcPr>
            <w:tcW w:w="1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4,307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Liabilities:</w:t>
            </w:r>
          </w:p>
        </w:tc>
        <w:tc>
          <w:tcPr>
            <w:tcW w:w="1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October 1, 2011</w:t>
            </w:r>
          </w:p>
        </w:tc>
        <w:tc>
          <w:tcPr>
            <w:tcW w:w="1760" w:type="dxa"/>
            <w:vAlign w:val="bottom"/>
          </w:tcPr>
          <w:p>
            <w:pPr>
              <w:ind w:left="20"/>
              <w:spacing w:after="0"/>
              <w:rPr>
                <w:sz w:val="20"/>
                <w:szCs w:val="20"/>
                <w:color w:val="auto"/>
              </w:rPr>
            </w:pPr>
            <w:r>
              <w:rPr>
                <w:rFonts w:ascii="Arial" w:cs="Arial" w:eastAsia="Arial" w:hAnsi="Arial"/>
                <w:sz w:val="18"/>
                <w:szCs w:val="18"/>
                <w:color w:val="auto"/>
              </w:rPr>
              <w:t>September 1, 2014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21"/>
                <w:szCs w:val="21"/>
                <w:color w:val="auto"/>
              </w:rPr>
            </w:pP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1 Month LIBOR</w:t>
            </w:r>
          </w:p>
        </w:tc>
        <w:tc>
          <w:tcPr>
            <w:tcW w:w="108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These derivative financial instruments are comprised of interest rate swaps, which are designated and qualify as cash flow hedges. The Company does not use derivatives for trading or speculative purposes and currently does not have any derivatives that are not designated as hedges.</w:t>
      </w:r>
    </w:p>
    <w:p>
      <w:pPr>
        <w:spacing w:after="0" w:line="70" w:lineRule="exact"/>
        <w:rPr>
          <w:sz w:val="20"/>
          <w:szCs w:val="20"/>
          <w:color w:val="auto"/>
        </w:rPr>
      </w:pPr>
    </w:p>
    <w:p>
      <w:pPr>
        <w:ind w:left="660" w:right="180"/>
        <w:spacing w:after="0" w:line="312" w:lineRule="auto"/>
        <w:rPr>
          <w:sz w:val="20"/>
          <w:szCs w:val="20"/>
          <w:color w:val="auto"/>
        </w:rPr>
      </w:pPr>
      <w:r>
        <w:rPr>
          <w:rFonts w:ascii="Arial" w:cs="Arial" w:eastAsia="Arial" w:hAnsi="Arial"/>
          <w:sz w:val="16"/>
          <w:szCs w:val="16"/>
          <w:color w:val="auto"/>
        </w:rPr>
        <w:t>The effective portion of changes in the fair value of derivatives designated and qualifying as cash flow hedges is recorded in accumulated other comprehensive income (loss) and subsequently reclassified into earnings in the period that the hedged forecasted transaction affects earnings. The ineffective portion of the change in fair value of the derivatives is recognized directly in earnings as a gain or loss on derivative instruments.</w:t>
      </w:r>
    </w:p>
    <w:p>
      <w:pPr>
        <w:spacing w:after="0" w:line="14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following table represents the effect of the derivative financial instruments on the accompanying consolidated financial statements for the years ended December 31, 2012, 2011, and 2010 (in thousands):</w:t>
      </w:r>
    </w:p>
    <w:p>
      <w:pPr>
        <w:spacing w:after="0" w:line="291"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840" w:type="dxa"/>
            <w:vAlign w:val="bottom"/>
          </w:tcPr>
          <w:p>
            <w:pPr>
              <w:ind w:left="20"/>
              <w:spacing w:after="0"/>
              <w:rPr>
                <w:sz w:val="20"/>
                <w:szCs w:val="20"/>
                <w:color w:val="auto"/>
              </w:rPr>
            </w:pPr>
            <w:r>
              <w:rPr>
                <w:rFonts w:ascii="Arial" w:cs="Arial" w:eastAsia="Arial" w:hAnsi="Arial"/>
                <w:sz w:val="13"/>
                <w:szCs w:val="13"/>
                <w:color w:val="auto"/>
              </w:rPr>
              <w:t>Derivatives in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Location of Gain or</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5"/>
          </w:tcPr>
          <w:p>
            <w:pPr>
              <w:jc w:val="center"/>
              <w:ind w:right="40"/>
              <w:spacing w:after="0"/>
              <w:rPr>
                <w:sz w:val="20"/>
                <w:szCs w:val="20"/>
                <w:color w:val="auto"/>
              </w:rPr>
            </w:pPr>
            <w:r>
              <w:rPr>
                <w:rFonts w:ascii="Arial" w:cs="Arial" w:eastAsia="Arial" w:hAnsi="Arial"/>
                <w:sz w:val="13"/>
                <w:szCs w:val="13"/>
                <w:color w:val="auto"/>
                <w:w w:val="90"/>
              </w:rPr>
              <w:t>Amount of Gain or</w:t>
            </w:r>
          </w:p>
        </w:tc>
        <w:tc>
          <w:tcPr>
            <w:tcW w:w="460" w:type="dxa"/>
            <w:vAlign w:val="bottom"/>
          </w:tcPr>
          <w:p>
            <w:pPr>
              <w:spacing w:after="0"/>
              <w:rPr>
                <w:sz w:val="12"/>
                <w:szCs w:val="12"/>
                <w:color w:val="auto"/>
              </w:rPr>
            </w:pPr>
          </w:p>
        </w:tc>
      </w:tr>
      <w:tr>
        <w:trPr>
          <w:trHeight w:val="135"/>
        </w:trPr>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FASB</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Location of Gain</w:t>
            </w:r>
          </w:p>
        </w:tc>
        <w:tc>
          <w:tcPr>
            <w:tcW w:w="2080" w:type="dxa"/>
            <w:vAlign w:val="bottom"/>
            <w:gridSpan w:val="7"/>
          </w:tcPr>
          <w:p>
            <w:pPr>
              <w:jc w:val="center"/>
              <w:spacing w:after="0" w:line="135" w:lineRule="exact"/>
              <w:rPr>
                <w:sz w:val="20"/>
                <w:szCs w:val="20"/>
                <w:color w:val="auto"/>
              </w:rPr>
            </w:pPr>
            <w:r>
              <w:rPr>
                <w:rFonts w:ascii="Arial" w:cs="Arial" w:eastAsia="Arial" w:hAnsi="Arial"/>
                <w:sz w:val="13"/>
                <w:szCs w:val="13"/>
                <w:color w:val="auto"/>
                <w:w w:val="90"/>
              </w:rPr>
              <w:t>Amount of Gain (Loss)</w:t>
            </w:r>
          </w:p>
        </w:tc>
        <w:tc>
          <w:tcPr>
            <w:tcW w:w="1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(Loss) Recognized in</w:t>
            </w:r>
          </w:p>
        </w:tc>
        <w:tc>
          <w:tcPr>
            <w:tcW w:w="140" w:type="dxa"/>
            <w:vAlign w:val="bottom"/>
          </w:tcPr>
          <w:p>
            <w:pPr>
              <w:spacing w:after="0"/>
              <w:rPr>
                <w:sz w:val="11"/>
                <w:szCs w:val="11"/>
                <w:color w:val="auto"/>
              </w:rPr>
            </w:pPr>
          </w:p>
        </w:tc>
        <w:tc>
          <w:tcPr>
            <w:tcW w:w="1480" w:type="dxa"/>
            <w:vAlign w:val="bottom"/>
            <w:gridSpan w:val="6"/>
          </w:tcPr>
          <w:p>
            <w:pPr>
              <w:jc w:val="center"/>
              <w:ind w:left="296"/>
              <w:spacing w:after="0" w:line="135" w:lineRule="exact"/>
              <w:rPr>
                <w:sz w:val="20"/>
                <w:szCs w:val="20"/>
                <w:color w:val="auto"/>
              </w:rPr>
            </w:pPr>
            <w:r>
              <w:rPr>
                <w:rFonts w:ascii="Arial" w:cs="Arial" w:eastAsia="Arial" w:hAnsi="Arial"/>
                <w:sz w:val="13"/>
                <w:szCs w:val="13"/>
                <w:color w:val="auto"/>
                <w:w w:val="88"/>
              </w:rPr>
              <w:t>(Loss) Recognized in</w:t>
            </w:r>
          </w:p>
        </w:tc>
        <w:tc>
          <w:tcPr>
            <w:tcW w:w="460" w:type="dxa"/>
            <w:vAlign w:val="bottom"/>
          </w:tcPr>
          <w:p>
            <w:pPr>
              <w:spacing w:after="0"/>
              <w:rPr>
                <w:sz w:val="11"/>
                <w:szCs w:val="11"/>
                <w:color w:val="auto"/>
              </w:rPr>
            </w:pPr>
          </w:p>
        </w:tc>
      </w:tr>
      <w:tr>
        <w:trPr>
          <w:trHeight w:val="135"/>
        </w:trPr>
        <w:tc>
          <w:tcPr>
            <w:tcW w:w="840" w:type="dxa"/>
            <w:vAlign w:val="bottom"/>
          </w:tcPr>
          <w:p>
            <w:pPr>
              <w:ind w:left="20"/>
              <w:spacing w:after="0" w:line="135" w:lineRule="exact"/>
              <w:rPr>
                <w:sz w:val="20"/>
                <w:szCs w:val="20"/>
                <w:color w:val="auto"/>
              </w:rPr>
            </w:pPr>
            <w:r>
              <w:rPr>
                <w:rFonts w:ascii="Arial" w:cs="Arial" w:eastAsia="Arial" w:hAnsi="Arial"/>
                <w:sz w:val="13"/>
                <w:szCs w:val="13"/>
                <w:color w:val="auto"/>
                <w:w w:val="91"/>
              </w:rPr>
              <w:t>ASC Topic 815</w:t>
            </w:r>
          </w:p>
        </w:tc>
        <w:tc>
          <w:tcPr>
            <w:tcW w:w="580" w:type="dxa"/>
            <w:vAlign w:val="bottom"/>
          </w:tcPr>
          <w:p>
            <w:pPr>
              <w:spacing w:after="0"/>
              <w:rPr>
                <w:sz w:val="11"/>
                <w:szCs w:val="11"/>
                <w:color w:val="auto"/>
              </w:rPr>
            </w:pPr>
          </w:p>
        </w:tc>
        <w:tc>
          <w:tcPr>
            <w:tcW w:w="1180" w:type="dxa"/>
            <w:vAlign w:val="bottom"/>
            <w:gridSpan w:val="5"/>
          </w:tcPr>
          <w:p>
            <w:pPr>
              <w:jc w:val="center"/>
              <w:spacing w:after="0" w:line="135" w:lineRule="exact"/>
              <w:rPr>
                <w:sz w:val="20"/>
                <w:szCs w:val="20"/>
                <w:color w:val="auto"/>
              </w:rPr>
            </w:pPr>
            <w:r>
              <w:rPr>
                <w:rFonts w:ascii="Arial" w:cs="Arial" w:eastAsia="Arial" w:hAnsi="Arial"/>
                <w:sz w:val="13"/>
                <w:szCs w:val="13"/>
                <w:color w:val="auto"/>
                <w:w w:val="90"/>
              </w:rPr>
              <w:t>Amount of Gain (Loss)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(Loss) Reclassified</w:t>
            </w:r>
          </w:p>
        </w:tc>
        <w:tc>
          <w:tcPr>
            <w:tcW w:w="580" w:type="dxa"/>
            <w:vAlign w:val="bottom"/>
          </w:tcPr>
          <w:p>
            <w:pPr>
              <w:spacing w:after="0"/>
              <w:rPr>
                <w:sz w:val="11"/>
                <w:szCs w:val="11"/>
                <w:color w:val="auto"/>
              </w:rPr>
            </w:pPr>
          </w:p>
        </w:tc>
        <w:tc>
          <w:tcPr>
            <w:tcW w:w="980" w:type="dxa"/>
            <w:vAlign w:val="bottom"/>
            <w:gridSpan w:val="5"/>
          </w:tcPr>
          <w:p>
            <w:pPr>
              <w:jc w:val="center"/>
              <w:ind w:right="20"/>
              <w:spacing w:after="0" w:line="135" w:lineRule="exact"/>
              <w:rPr>
                <w:sz w:val="20"/>
                <w:szCs w:val="20"/>
                <w:color w:val="auto"/>
              </w:rPr>
            </w:pPr>
            <w:r>
              <w:rPr>
                <w:rFonts w:ascii="Arial" w:cs="Arial" w:eastAsia="Arial" w:hAnsi="Arial"/>
                <w:sz w:val="13"/>
                <w:szCs w:val="13"/>
                <w:color w:val="auto"/>
                <w:w w:val="88"/>
              </w:rPr>
              <w:t>Reclassified from</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Income on Derivative</w:t>
            </w:r>
          </w:p>
        </w:tc>
        <w:tc>
          <w:tcPr>
            <w:tcW w:w="140" w:type="dxa"/>
            <w:vAlign w:val="bottom"/>
          </w:tcPr>
          <w:p>
            <w:pPr>
              <w:spacing w:after="0"/>
              <w:rPr>
                <w:sz w:val="11"/>
                <w:szCs w:val="11"/>
                <w:color w:val="auto"/>
              </w:rPr>
            </w:pPr>
          </w:p>
        </w:tc>
        <w:tc>
          <w:tcPr>
            <w:tcW w:w="1480" w:type="dxa"/>
            <w:vAlign w:val="bottom"/>
            <w:gridSpan w:val="6"/>
          </w:tcPr>
          <w:p>
            <w:pPr>
              <w:jc w:val="center"/>
              <w:ind w:left="276"/>
              <w:spacing w:after="0" w:line="135" w:lineRule="exact"/>
              <w:rPr>
                <w:sz w:val="20"/>
                <w:szCs w:val="20"/>
                <w:color w:val="auto"/>
              </w:rPr>
            </w:pPr>
            <w:r>
              <w:rPr>
                <w:rFonts w:ascii="Arial" w:cs="Arial" w:eastAsia="Arial" w:hAnsi="Arial"/>
                <w:sz w:val="13"/>
                <w:szCs w:val="13"/>
                <w:color w:val="auto"/>
                <w:w w:val="90"/>
              </w:rPr>
              <w:t>Income on Derivative</w:t>
            </w:r>
          </w:p>
        </w:tc>
        <w:tc>
          <w:tcPr>
            <w:tcW w:w="460" w:type="dxa"/>
            <w:vAlign w:val="bottom"/>
          </w:tcPr>
          <w:p>
            <w:pPr>
              <w:spacing w:after="0"/>
              <w:rPr>
                <w:sz w:val="11"/>
                <w:szCs w:val="11"/>
                <w:color w:val="auto"/>
              </w:rPr>
            </w:pPr>
          </w:p>
        </w:tc>
      </w:tr>
      <w:tr>
        <w:trPr>
          <w:trHeight w:val="135"/>
        </w:trPr>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Cash</w:t>
            </w:r>
          </w:p>
        </w:tc>
        <w:tc>
          <w:tcPr>
            <w:tcW w:w="580" w:type="dxa"/>
            <w:vAlign w:val="bottom"/>
          </w:tcPr>
          <w:p>
            <w:pPr>
              <w:spacing w:after="0"/>
              <w:rPr>
                <w:sz w:val="11"/>
                <w:szCs w:val="11"/>
                <w:color w:val="auto"/>
              </w:rPr>
            </w:pPr>
          </w:p>
        </w:tc>
        <w:tc>
          <w:tcPr>
            <w:tcW w:w="1180" w:type="dxa"/>
            <w:vAlign w:val="bottom"/>
            <w:gridSpan w:val="5"/>
          </w:tcPr>
          <w:p>
            <w:pPr>
              <w:jc w:val="center"/>
              <w:spacing w:after="0" w:line="135" w:lineRule="exact"/>
              <w:rPr>
                <w:sz w:val="20"/>
                <w:szCs w:val="20"/>
                <w:color w:val="auto"/>
              </w:rPr>
            </w:pPr>
            <w:r>
              <w:rPr>
                <w:rFonts w:ascii="Arial" w:cs="Arial" w:eastAsia="Arial" w:hAnsi="Arial"/>
                <w:sz w:val="13"/>
                <w:szCs w:val="13"/>
                <w:color w:val="auto"/>
                <w:w w:val="88"/>
              </w:rPr>
              <w:t>Recognized in OCI 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from Accumulated</w:t>
            </w:r>
          </w:p>
        </w:tc>
        <w:tc>
          <w:tcPr>
            <w:tcW w:w="2080" w:type="dxa"/>
            <w:vAlign w:val="bottom"/>
            <w:gridSpan w:val="7"/>
          </w:tcPr>
          <w:p>
            <w:pPr>
              <w:jc w:val="center"/>
              <w:spacing w:after="0" w:line="135" w:lineRule="exact"/>
              <w:rPr>
                <w:sz w:val="20"/>
                <w:szCs w:val="20"/>
                <w:color w:val="auto"/>
              </w:rPr>
            </w:pPr>
            <w:r>
              <w:rPr>
                <w:rFonts w:ascii="Arial" w:cs="Arial" w:eastAsia="Arial" w:hAnsi="Arial"/>
                <w:sz w:val="13"/>
                <w:szCs w:val="13"/>
                <w:color w:val="auto"/>
                <w:w w:val="91"/>
              </w:rPr>
              <w:t>Accumulated OCI into</w:t>
            </w:r>
          </w:p>
        </w:tc>
        <w:tc>
          <w:tcPr>
            <w:tcW w:w="1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(Ineffective Portion and</w:t>
            </w:r>
          </w:p>
        </w:tc>
        <w:tc>
          <w:tcPr>
            <w:tcW w:w="140" w:type="dxa"/>
            <w:vAlign w:val="bottom"/>
          </w:tcPr>
          <w:p>
            <w:pPr>
              <w:spacing w:after="0"/>
              <w:rPr>
                <w:sz w:val="11"/>
                <w:szCs w:val="11"/>
                <w:color w:val="auto"/>
              </w:rPr>
            </w:pPr>
          </w:p>
        </w:tc>
        <w:tc>
          <w:tcPr>
            <w:tcW w:w="1940" w:type="dxa"/>
            <w:vAlign w:val="bottom"/>
            <w:gridSpan w:val="7"/>
          </w:tcPr>
          <w:p>
            <w:pPr>
              <w:jc w:val="center"/>
              <w:ind w:right="33"/>
              <w:spacing w:after="0" w:line="135" w:lineRule="exact"/>
              <w:rPr>
                <w:sz w:val="20"/>
                <w:szCs w:val="20"/>
                <w:color w:val="auto"/>
              </w:rPr>
            </w:pPr>
            <w:r>
              <w:rPr>
                <w:rFonts w:ascii="Arial" w:cs="Arial" w:eastAsia="Arial" w:hAnsi="Arial"/>
                <w:sz w:val="13"/>
                <w:szCs w:val="13"/>
                <w:color w:val="auto"/>
                <w:w w:val="89"/>
              </w:rPr>
              <w:t>(Ineffective Portion and</w:t>
            </w:r>
          </w:p>
        </w:tc>
      </w:tr>
      <w:tr>
        <w:trPr>
          <w:trHeight w:val="135"/>
        </w:trPr>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Flow Hedging</w:t>
            </w:r>
          </w:p>
        </w:tc>
        <w:tc>
          <w:tcPr>
            <w:tcW w:w="580" w:type="dxa"/>
            <w:vAlign w:val="bottom"/>
          </w:tcPr>
          <w:p>
            <w:pPr>
              <w:spacing w:after="0"/>
              <w:rPr>
                <w:sz w:val="11"/>
                <w:szCs w:val="11"/>
                <w:color w:val="auto"/>
              </w:rPr>
            </w:pPr>
          </w:p>
        </w:tc>
        <w:tc>
          <w:tcPr>
            <w:tcW w:w="1180" w:type="dxa"/>
            <w:vAlign w:val="bottom"/>
            <w:gridSpan w:val="5"/>
          </w:tcPr>
          <w:p>
            <w:pPr>
              <w:jc w:val="center"/>
              <w:spacing w:after="0" w:line="135" w:lineRule="exact"/>
              <w:rPr>
                <w:sz w:val="20"/>
                <w:szCs w:val="20"/>
                <w:color w:val="auto"/>
              </w:rPr>
            </w:pPr>
            <w:r>
              <w:rPr>
                <w:rFonts w:ascii="Arial" w:cs="Arial" w:eastAsia="Arial" w:hAnsi="Arial"/>
                <w:sz w:val="13"/>
                <w:szCs w:val="13"/>
                <w:color w:val="auto"/>
                <w:w w:val="91"/>
              </w:rPr>
              <w:t>Derivative (Effective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OCI into Income</w:t>
            </w:r>
          </w:p>
        </w:tc>
        <w:tc>
          <w:tcPr>
            <w:tcW w:w="580" w:type="dxa"/>
            <w:vAlign w:val="bottom"/>
          </w:tcPr>
          <w:p>
            <w:pPr>
              <w:spacing w:after="0"/>
              <w:rPr>
                <w:sz w:val="11"/>
                <w:szCs w:val="11"/>
                <w:color w:val="auto"/>
              </w:rPr>
            </w:pPr>
          </w:p>
        </w:tc>
        <w:tc>
          <w:tcPr>
            <w:tcW w:w="980" w:type="dxa"/>
            <w:vAlign w:val="bottom"/>
            <w:gridSpan w:val="5"/>
          </w:tcPr>
          <w:p>
            <w:pPr>
              <w:jc w:val="center"/>
              <w:ind w:right="20"/>
              <w:spacing w:after="0" w:line="135" w:lineRule="exact"/>
              <w:rPr>
                <w:sz w:val="20"/>
                <w:szCs w:val="20"/>
                <w:color w:val="auto"/>
              </w:rPr>
            </w:pPr>
            <w:r>
              <w:rPr>
                <w:rFonts w:ascii="Arial" w:cs="Arial" w:eastAsia="Arial" w:hAnsi="Arial"/>
                <w:sz w:val="13"/>
                <w:szCs w:val="13"/>
                <w:color w:val="auto"/>
                <w:w w:val="91"/>
              </w:rPr>
              <w:t>Income (Effective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Amount Excluded from</w:t>
            </w:r>
          </w:p>
        </w:tc>
        <w:tc>
          <w:tcPr>
            <w:tcW w:w="140" w:type="dxa"/>
            <w:vAlign w:val="bottom"/>
          </w:tcPr>
          <w:p>
            <w:pPr>
              <w:spacing w:after="0"/>
              <w:rPr>
                <w:sz w:val="11"/>
                <w:szCs w:val="11"/>
                <w:color w:val="auto"/>
              </w:rPr>
            </w:pPr>
          </w:p>
        </w:tc>
        <w:tc>
          <w:tcPr>
            <w:tcW w:w="1940" w:type="dxa"/>
            <w:vAlign w:val="bottom"/>
            <w:gridSpan w:val="7"/>
          </w:tcPr>
          <w:p>
            <w:pPr>
              <w:jc w:val="center"/>
              <w:ind w:right="33"/>
              <w:spacing w:after="0" w:line="135" w:lineRule="exact"/>
              <w:rPr>
                <w:sz w:val="20"/>
                <w:szCs w:val="20"/>
                <w:color w:val="auto"/>
              </w:rPr>
            </w:pPr>
            <w:r>
              <w:rPr>
                <w:rFonts w:ascii="Arial" w:cs="Arial" w:eastAsia="Arial" w:hAnsi="Arial"/>
                <w:sz w:val="13"/>
                <w:szCs w:val="13"/>
                <w:color w:val="auto"/>
                <w:w w:val="91"/>
              </w:rPr>
              <w:t>Amount Excluded from</w:t>
            </w:r>
          </w:p>
        </w:tc>
      </w:tr>
      <w:tr>
        <w:trPr>
          <w:trHeight w:val="170"/>
        </w:trPr>
        <w:tc>
          <w:tcPr>
            <w:tcW w:w="840" w:type="dxa"/>
            <w:vAlign w:val="bottom"/>
          </w:tcPr>
          <w:p>
            <w:pPr>
              <w:ind w:left="20"/>
              <w:spacing w:after="0"/>
              <w:rPr>
                <w:sz w:val="20"/>
                <w:szCs w:val="20"/>
                <w:color w:val="auto"/>
              </w:rPr>
            </w:pPr>
            <w:r>
              <w:rPr>
                <w:rFonts w:ascii="Arial" w:cs="Arial" w:eastAsia="Arial" w:hAnsi="Arial"/>
                <w:sz w:val="13"/>
                <w:szCs w:val="13"/>
                <w:color w:val="auto"/>
                <w:w w:val="97"/>
              </w:rPr>
              <w:t>Relationships: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3"/>
                <w:szCs w:val="13"/>
                <w:color w:val="auto"/>
                <w:w w:val="87"/>
              </w:rPr>
              <w:t>Portion)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(Effective Portion)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3"/>
                <w:szCs w:val="13"/>
                <w:color w:val="auto"/>
                <w:w w:val="87"/>
              </w:rPr>
              <w:t>Portion)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Effectiveness Testing)</w:t>
            </w:r>
          </w:p>
        </w:tc>
        <w:tc>
          <w:tcPr>
            <w:tcW w:w="140" w:type="dxa"/>
            <w:vAlign w:val="bottom"/>
          </w:tcPr>
          <w:p>
            <w:pPr>
              <w:spacing w:after="0"/>
              <w:rPr>
                <w:sz w:val="14"/>
                <w:szCs w:val="14"/>
                <w:color w:val="auto"/>
              </w:rPr>
            </w:pPr>
          </w:p>
        </w:tc>
        <w:tc>
          <w:tcPr>
            <w:tcW w:w="1480" w:type="dxa"/>
            <w:vAlign w:val="bottom"/>
            <w:gridSpan w:val="6"/>
          </w:tcPr>
          <w:p>
            <w:pPr>
              <w:jc w:val="center"/>
              <w:ind w:left="296"/>
              <w:spacing w:after="0"/>
              <w:rPr>
                <w:sz w:val="20"/>
                <w:szCs w:val="20"/>
                <w:color w:val="auto"/>
              </w:rPr>
            </w:pPr>
            <w:r>
              <w:rPr>
                <w:rFonts w:ascii="Arial" w:cs="Arial" w:eastAsia="Arial" w:hAnsi="Arial"/>
                <w:sz w:val="13"/>
                <w:szCs w:val="13"/>
                <w:color w:val="auto"/>
                <w:w w:val="87"/>
              </w:rPr>
              <w:t>Effectiveness Testing)</w:t>
            </w:r>
          </w:p>
        </w:tc>
        <w:tc>
          <w:tcPr>
            <w:tcW w:w="460" w:type="dxa"/>
            <w:vAlign w:val="bottom"/>
          </w:tcPr>
          <w:p>
            <w:pPr>
              <w:spacing w:after="0"/>
              <w:rPr>
                <w:sz w:val="14"/>
                <w:szCs w:val="14"/>
                <w:color w:val="auto"/>
              </w:rPr>
            </w:pPr>
          </w:p>
        </w:tc>
      </w:tr>
      <w:tr>
        <w:trPr>
          <w:trHeight w:val="241"/>
        </w:trPr>
        <w:tc>
          <w:tcPr>
            <w:tcW w:w="8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87"/>
              </w:rPr>
              <w:t>December 31,</w:t>
            </w: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87"/>
              </w:rPr>
              <w:t>December 31,</w:t>
            </w: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460" w:type="dxa"/>
            <w:vAlign w:val="bottom"/>
            <w:tcBorders>
              <w:top w:val="single" w:sz="8" w:color="auto"/>
            </w:tcBorders>
          </w:tcPr>
          <w:p>
            <w:pPr>
              <w:spacing w:after="0"/>
              <w:rPr>
                <w:sz w:val="20"/>
                <w:szCs w:val="20"/>
                <w:color w:val="auto"/>
              </w:rPr>
            </w:pPr>
          </w:p>
        </w:tc>
      </w:tr>
      <w:tr>
        <w:trPr>
          <w:trHeight w:val="280"/>
        </w:trPr>
        <w:tc>
          <w:tcPr>
            <w:tcW w:w="840" w:type="dxa"/>
            <w:vAlign w:val="bottom"/>
          </w:tcPr>
          <w:p>
            <w:pPr>
              <w:spacing w:after="0"/>
              <w:rPr>
                <w:sz w:val="24"/>
                <w:szCs w:val="24"/>
                <w:color w:val="auto"/>
              </w:rPr>
            </w:pPr>
          </w:p>
        </w:tc>
        <w:tc>
          <w:tcPr>
            <w:tcW w:w="58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860" w:type="dxa"/>
            <w:vAlign w:val="bottom"/>
            <w:gridSpan w:val="3"/>
          </w:tcPr>
          <w:p>
            <w:pPr>
              <w:jc w:val="right"/>
              <w:ind w:right="13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193"/>
              <w:spacing w:after="0"/>
              <w:rPr>
                <w:sz w:val="20"/>
                <w:szCs w:val="20"/>
                <w:color w:val="auto"/>
              </w:rPr>
            </w:pPr>
            <w:r>
              <w:rPr>
                <w:rFonts w:ascii="Arial" w:cs="Arial" w:eastAsia="Arial" w:hAnsi="Arial"/>
                <w:sz w:val="13"/>
                <w:szCs w:val="13"/>
                <w:b w:val="1"/>
                <w:bCs w:val="1"/>
                <w:color w:val="auto"/>
                <w:w w:val="96"/>
              </w:rPr>
              <w:t>2010</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75"/>
              <w:spacing w:after="0"/>
              <w:rPr>
                <w:sz w:val="20"/>
                <w:szCs w:val="20"/>
                <w:color w:val="auto"/>
              </w:rPr>
            </w:pPr>
            <w:r>
              <w:rPr>
                <w:rFonts w:ascii="Arial" w:cs="Arial" w:eastAsia="Arial" w:hAnsi="Arial"/>
                <w:sz w:val="13"/>
                <w:szCs w:val="13"/>
                <w:b w:val="1"/>
                <w:bCs w:val="1"/>
                <w:color w:val="auto"/>
              </w:rPr>
              <w:t>2012</w:t>
            </w:r>
          </w:p>
        </w:tc>
        <w:tc>
          <w:tcPr>
            <w:tcW w:w="780" w:type="dxa"/>
            <w:vAlign w:val="bottom"/>
            <w:gridSpan w:val="3"/>
          </w:tcPr>
          <w:p>
            <w:pPr>
              <w:jc w:val="center"/>
              <w:ind w:left="75"/>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2012</w:t>
            </w:r>
          </w:p>
        </w:tc>
        <w:tc>
          <w:tcPr>
            <w:tcW w:w="800" w:type="dxa"/>
            <w:vAlign w:val="bottom"/>
            <w:gridSpan w:val="3"/>
          </w:tcPr>
          <w:p>
            <w:pPr>
              <w:jc w:val="center"/>
              <w:ind w:left="134"/>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113"/>
              <w:spacing w:after="0"/>
              <w:rPr>
                <w:sz w:val="20"/>
                <w:szCs w:val="20"/>
                <w:color w:val="auto"/>
              </w:rPr>
            </w:pPr>
            <w:r>
              <w:rPr>
                <w:rFonts w:ascii="Arial" w:cs="Arial" w:eastAsia="Arial" w:hAnsi="Arial"/>
                <w:sz w:val="13"/>
                <w:szCs w:val="13"/>
                <w:b w:val="1"/>
                <w:bCs w:val="1"/>
                <w:color w:val="auto"/>
                <w:w w:val="89"/>
              </w:rPr>
              <w:t>2010</w:t>
            </w:r>
          </w:p>
        </w:tc>
      </w:tr>
      <w:tr>
        <w:trPr>
          <w:trHeight w:val="143"/>
        </w:trPr>
        <w:tc>
          <w:tcPr>
            <w:tcW w:w="8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Interest rate</w:t>
            </w: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4"/>
              </w:rPr>
              <w:t>Interest</w:t>
            </w: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swaps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4,245</w:t>
            </w:r>
          </w:p>
        </w:tc>
        <w:tc>
          <w:tcPr>
            <w:tcW w:w="860" w:type="dxa"/>
            <w:vAlign w:val="bottom"/>
            <w:gridSpan w:val="3"/>
            <w:shd w:val="clear" w:color="auto" w:fill="CCEEFF"/>
          </w:tcPr>
          <w:p>
            <w:pPr>
              <w:jc w:val="right"/>
              <w:ind w:right="37"/>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(36,556)</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(9,491)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(9,467)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w:t>
            </w: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Other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96"/>
              </w:rPr>
              <w:t>1,419</w:t>
            </w:r>
          </w:p>
        </w:tc>
      </w:tr>
    </w:tbl>
    <w:p>
      <w:pPr>
        <w:spacing w:after="0" w:line="148"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unamortized balance of the settled interest rate swaps at December 31, 2012 and 2011 was $62.6 million and $72.0 million, respectively. As of December 31, 2012, the Company expects $9.5 million of deferred losses (gains) on derivative instruments accumulated in other comprehensive income to be reclassified into earnings during the next 12 months.</w:t>
      </w:r>
    </w:p>
    <w:p>
      <w:pPr>
        <w:spacing w:after="0" w:line="181" w:lineRule="exact"/>
        <w:rPr>
          <w:sz w:val="20"/>
          <w:szCs w:val="20"/>
          <w:color w:val="auto"/>
        </w:rPr>
      </w:pPr>
    </w:p>
    <w:p>
      <w:pPr>
        <w:ind w:left="660" w:right="160"/>
        <w:spacing w:after="0" w:line="312" w:lineRule="auto"/>
        <w:rPr>
          <w:sz w:val="20"/>
          <w:szCs w:val="20"/>
          <w:color w:val="auto"/>
        </w:rPr>
      </w:pPr>
      <w:r>
        <w:rPr>
          <w:rFonts w:ascii="Arial" w:cs="Arial" w:eastAsia="Arial" w:hAnsi="Arial"/>
          <w:sz w:val="16"/>
          <w:szCs w:val="16"/>
          <w:color w:val="auto"/>
        </w:rPr>
        <w:t>On October 7, 2010, the Company paid $36.7 million to settle the remaining $140.7 million of interest rate swaps then outstanding. On October 7, 2010, the Company closed on $250.0 million of 4.80% ten-year senior unsecured notes. The Company began amortizing the $36.7 million loss realized from the swap settlement in October 2010 over a ten year period; therefore, the effective interest rate on these notes was 6.26%.</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121" w:right="319" w:bottom="1440" w:gutter="0" w:footer="0" w:header="0"/>
        </w:sectPr>
      </w:pPr>
    </w:p>
    <w:bookmarkStart w:id="107" w:name="page108"/>
    <w:bookmarkEnd w:id="107"/>
    <w:p>
      <w:pPr>
        <w:jc w:val="center"/>
        <w:ind w:left="300" w:right="27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52" w:right="260"/>
        <w:spacing w:after="0" w:line="259" w:lineRule="auto"/>
        <w:rPr>
          <w:sz w:val="20"/>
          <w:szCs w:val="20"/>
          <w:color w:val="auto"/>
        </w:rPr>
      </w:pPr>
      <w:r>
        <w:rPr>
          <w:rFonts w:ascii="Arial" w:cs="Arial" w:eastAsia="Arial" w:hAnsi="Arial"/>
          <w:sz w:val="18"/>
          <w:szCs w:val="18"/>
          <w:color w:val="auto"/>
        </w:rPr>
        <w:t>On June 1, 2010, the Company paid $26.8 million to settle and partially settle $150.0 million of its interest rate swaps then outstanding of $290.7 million. On June 2, 2010 the Company also closed on $150.0 million of ten-year senior unsecured notes with an interest rate of 6.00%. The Company began amortizing the $26.8 million loss realized from the swap settlement in June 2010 over a ten year period; therefore, the effective interest rate on these notes was 7.67%.</w:t>
      </w:r>
    </w:p>
    <w:p>
      <w:pPr>
        <w:spacing w:after="0" w:line="187" w:lineRule="exact"/>
        <w:rPr>
          <w:sz w:val="20"/>
          <w:szCs w:val="20"/>
          <w:color w:val="auto"/>
        </w:rPr>
      </w:pPr>
    </w:p>
    <w:p>
      <w:pPr>
        <w:jc w:val="both"/>
        <w:ind w:left="652" w:right="660"/>
        <w:spacing w:after="0" w:line="312" w:lineRule="auto"/>
        <w:rPr>
          <w:sz w:val="20"/>
          <w:szCs w:val="20"/>
          <w:color w:val="auto"/>
        </w:rPr>
      </w:pPr>
      <w:r>
        <w:rPr>
          <w:rFonts w:ascii="Arial" w:cs="Arial" w:eastAsia="Arial" w:hAnsi="Arial"/>
          <w:sz w:val="16"/>
          <w:szCs w:val="16"/>
          <w:color w:val="auto"/>
        </w:rPr>
        <w:t>Realized gains and losses associated with the settled interest rate swaps have been included in accumulated other comprehensive loss in the accompanying Consolidated Statements of Equity of the Parent Company and the accompanying Consolidated Statements of Capital of the Operating Partnership and are amortized as the corresponding hedged interest payments are made in future periods.</w:t>
      </w:r>
    </w:p>
    <w:p>
      <w:pPr>
        <w:spacing w:after="0" w:line="147" w:lineRule="exact"/>
        <w:rPr>
          <w:sz w:val="20"/>
          <w:szCs w:val="20"/>
          <w:color w:val="auto"/>
        </w:rPr>
      </w:pPr>
    </w:p>
    <w:p>
      <w:pPr>
        <w:ind w:left="412" w:hanging="412"/>
        <w:spacing w:after="0"/>
        <w:tabs>
          <w:tab w:leader="none" w:pos="4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25" w:lineRule="exact"/>
        <w:rPr>
          <w:rFonts w:ascii="Arial" w:cs="Arial" w:eastAsia="Arial" w:hAnsi="Arial"/>
          <w:sz w:val="18"/>
          <w:szCs w:val="18"/>
          <w:color w:val="auto"/>
        </w:rPr>
      </w:pPr>
    </w:p>
    <w:p>
      <w:pPr>
        <w:ind w:left="892" w:hanging="244"/>
        <w:spacing w:after="0"/>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Disclosure of Fair Value of Financial Instruments</w:t>
      </w:r>
    </w:p>
    <w:p>
      <w:pPr>
        <w:spacing w:after="0" w:line="225" w:lineRule="exact"/>
        <w:rPr>
          <w:sz w:val="20"/>
          <w:szCs w:val="20"/>
          <w:color w:val="auto"/>
        </w:rPr>
      </w:pPr>
    </w:p>
    <w:p>
      <w:pPr>
        <w:ind w:left="972" w:right="160"/>
        <w:spacing w:after="0" w:line="312" w:lineRule="auto"/>
        <w:rPr>
          <w:sz w:val="20"/>
          <w:szCs w:val="20"/>
          <w:color w:val="auto"/>
        </w:rPr>
      </w:pPr>
      <w:r>
        <w:rPr>
          <w:rFonts w:ascii="Arial" w:cs="Arial" w:eastAsia="Arial" w:hAnsi="Arial"/>
          <w:sz w:val="16"/>
          <w:szCs w:val="16"/>
          <w:color w:val="auto"/>
        </w:rPr>
        <w:t>All financial instruments of the Company are reflected in the accompanying Consolidated Balance Sheets at amounts which, in management's estimation, reasonably approximates their fair values, except those listed below. The following provides information about the methods and assumptions used to estimate the fair value of the Company's financial instruments, including their estimated fair values.</w:t>
      </w:r>
    </w:p>
    <w:p>
      <w:pPr>
        <w:spacing w:after="0" w:line="147" w:lineRule="exact"/>
        <w:rPr>
          <w:sz w:val="20"/>
          <w:szCs w:val="20"/>
          <w:color w:val="auto"/>
        </w:rPr>
      </w:pPr>
    </w:p>
    <w:p>
      <w:pPr>
        <w:ind w:left="972"/>
        <w:spacing w:after="0"/>
        <w:rPr>
          <w:sz w:val="20"/>
          <w:szCs w:val="20"/>
          <w:color w:val="auto"/>
        </w:rPr>
      </w:pPr>
      <w:r>
        <w:rPr>
          <w:rFonts w:ascii="Arial" w:cs="Arial" w:eastAsia="Arial" w:hAnsi="Arial"/>
          <w:sz w:val="18"/>
          <w:szCs w:val="18"/>
          <w:u w:val="single" w:color="auto"/>
          <w:color w:val="auto"/>
        </w:rPr>
        <w:t>Notes Receivable</w:t>
      </w:r>
    </w:p>
    <w:p>
      <w:pPr>
        <w:spacing w:after="0" w:line="90" w:lineRule="exact"/>
        <w:rPr>
          <w:sz w:val="20"/>
          <w:szCs w:val="20"/>
          <w:color w:val="auto"/>
        </w:rPr>
      </w:pPr>
    </w:p>
    <w:p>
      <w:pPr>
        <w:ind w:left="972"/>
        <w:spacing w:after="0" w:line="276" w:lineRule="auto"/>
        <w:rPr>
          <w:sz w:val="20"/>
          <w:szCs w:val="20"/>
          <w:color w:val="auto"/>
        </w:rPr>
      </w:pPr>
      <w:r>
        <w:rPr>
          <w:rFonts w:ascii="Arial" w:cs="Arial" w:eastAsia="Arial" w:hAnsi="Arial"/>
          <w:sz w:val="17"/>
          <w:szCs w:val="17"/>
          <w:color w:val="auto"/>
        </w:rPr>
        <w:t>The fair value of the Company's notes receivable is estimated by calculating the present value of future contractual cash flows discounted at an interest rate available for notes of the same terms and maturities adjusted for customer specific credit risk. The interest rates range from 7.0% to 8.1% and 7.1% to 8.1% at December 31, 2012 and 2011, respectively, based on the Company's estimates. The fair value of notes receivable was determined primarily using Level 3 inputs of the fair value hierarchy. Based on the estimates made by the Company, the fair value of notes receivable was $23.7 million and $35.3 million at December 31, 2012 and 2011, respectively.</w:t>
      </w:r>
    </w:p>
    <w:p>
      <w:pPr>
        <w:spacing w:after="0" w:line="37" w:lineRule="exact"/>
        <w:rPr>
          <w:sz w:val="20"/>
          <w:szCs w:val="20"/>
          <w:color w:val="auto"/>
        </w:rPr>
      </w:pPr>
    </w:p>
    <w:p>
      <w:pPr>
        <w:ind w:left="972"/>
        <w:spacing w:after="0"/>
        <w:rPr>
          <w:sz w:val="20"/>
          <w:szCs w:val="20"/>
          <w:color w:val="auto"/>
        </w:rPr>
      </w:pPr>
      <w:r>
        <w:rPr>
          <w:rFonts w:ascii="Arial" w:cs="Arial" w:eastAsia="Arial" w:hAnsi="Arial"/>
          <w:sz w:val="18"/>
          <w:szCs w:val="18"/>
          <w:u w:val="single" w:color="auto"/>
          <w:color w:val="auto"/>
        </w:rPr>
        <w:t>Notes Payable</w:t>
      </w:r>
    </w:p>
    <w:p>
      <w:pPr>
        <w:spacing w:after="0" w:line="90" w:lineRule="exact"/>
        <w:rPr>
          <w:sz w:val="20"/>
          <w:szCs w:val="20"/>
          <w:color w:val="auto"/>
        </w:rPr>
      </w:pPr>
    </w:p>
    <w:p>
      <w:pPr>
        <w:ind w:left="972"/>
        <w:spacing w:after="0" w:line="255" w:lineRule="auto"/>
        <w:rPr>
          <w:sz w:val="20"/>
          <w:szCs w:val="20"/>
          <w:color w:val="auto"/>
        </w:rPr>
      </w:pPr>
      <w:r>
        <w:rPr>
          <w:rFonts w:ascii="Arial" w:cs="Arial" w:eastAsia="Arial" w:hAnsi="Arial"/>
          <w:sz w:val="18"/>
          <w:szCs w:val="18"/>
          <w:color w:val="auto"/>
        </w:rPr>
        <w:t>The fair value of the Company's notes payable is estimated by discounting future cash flows of each instrument at rates that reflect the current market rates available to the Company for debt of the same terms and maturities. These rates range from 2.4% to 3.3% and 2.4% to 4.3% at December 31, 2012 and 2011, respectively, based on the Company's estimates. Fixed rate loans assumed in connection with real estate acquisitions are recorded in the accompanying consolidated financial statements at fair value at the time the property is acquired including those loans assumed in distribution-in-kind liquidations. The fair value of the notes payable was determined using Level 2 inputs of the fair value hierarchy. Based on the estimates used by the Company, the fair value of notes payable was $2.0 billion and $2.1 billion at December 31, 2012 and 2011, respectively.</w:t>
      </w:r>
    </w:p>
    <w:p>
      <w:pPr>
        <w:spacing w:after="0" w:line="216" w:lineRule="exact"/>
        <w:rPr>
          <w:sz w:val="20"/>
          <w:szCs w:val="20"/>
          <w:color w:val="auto"/>
        </w:rPr>
      </w:pPr>
    </w:p>
    <w:p>
      <w:pPr>
        <w:ind w:left="972"/>
        <w:spacing w:after="0"/>
        <w:rPr>
          <w:sz w:val="20"/>
          <w:szCs w:val="20"/>
          <w:color w:val="auto"/>
        </w:rPr>
      </w:pPr>
      <w:r>
        <w:rPr>
          <w:rFonts w:ascii="Arial" w:cs="Arial" w:eastAsia="Arial" w:hAnsi="Arial"/>
          <w:sz w:val="18"/>
          <w:szCs w:val="18"/>
          <w:u w:val="single" w:color="auto"/>
          <w:color w:val="auto"/>
        </w:rPr>
        <w:t>Unsecured Credit Facilities</w:t>
      </w:r>
    </w:p>
    <w:p>
      <w:pPr>
        <w:spacing w:after="0" w:line="171" w:lineRule="exact"/>
        <w:rPr>
          <w:sz w:val="20"/>
          <w:szCs w:val="20"/>
          <w:color w:val="auto"/>
        </w:rPr>
      </w:pPr>
    </w:p>
    <w:p>
      <w:pPr>
        <w:ind w:left="972"/>
        <w:spacing w:after="0" w:line="302" w:lineRule="auto"/>
        <w:rPr>
          <w:sz w:val="20"/>
          <w:szCs w:val="20"/>
          <w:color w:val="auto"/>
        </w:rPr>
      </w:pPr>
      <w:r>
        <w:rPr>
          <w:rFonts w:ascii="Arial" w:cs="Arial" w:eastAsia="Arial" w:hAnsi="Arial"/>
          <w:sz w:val="16"/>
          <w:szCs w:val="16"/>
          <w:color w:val="auto"/>
        </w:rPr>
        <w:t>The fair value of the Company's unsecured credit facilities is estimated based on the interest rates currently offered to the Company by the Company's third partylenders, which is estimated to be 1.6% and 1.5% at December 31, 2012 and 2011, respectively. The fair value of the unsecured credit facilities was determined using Level 2 inputs of the fair value hierarchy. Based on the estimates used by the Company, the fair value of the unsecured credit facilities was $170.2 million and $40.0 million at December 31, 2012 and 2011, respectively.</w:t>
      </w:r>
    </w:p>
    <w:p>
      <w:pPr>
        <w:spacing w:after="0" w:line="10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 Fair Value Measurements</w:t>
      </w:r>
    </w:p>
    <w:p>
      <w:pPr>
        <w:spacing w:after="0" w:line="171" w:lineRule="exact"/>
        <w:rPr>
          <w:sz w:val="20"/>
          <w:szCs w:val="20"/>
          <w:color w:val="auto"/>
        </w:rPr>
      </w:pPr>
    </w:p>
    <w:p>
      <w:pPr>
        <w:ind w:left="972"/>
        <w:spacing w:after="0" w:line="255" w:lineRule="auto"/>
        <w:rPr>
          <w:sz w:val="20"/>
          <w:szCs w:val="20"/>
          <w:color w:val="auto"/>
        </w:rPr>
      </w:pPr>
      <w:r>
        <w:rPr>
          <w:rFonts w:ascii="Arial" w:cs="Arial" w:eastAsia="Arial" w:hAnsi="Arial"/>
          <w:sz w:val="18"/>
          <w:szCs w:val="18"/>
          <w:color w:val="auto"/>
        </w:rPr>
        <w:t>Internally developed fair value measurements, including the unobservable inputs, are evaluated for reasonableness based on current transactions and experience in the real estate and capital markets. Service providers involved in fair value measurements are evaluated for competency and qualifications on an ongoing basis. The Company's valuation policies and procedures are determined by its Finance Group, which reports to the Chief Financial Officer, and the results of significant fair value measurements are discussed with the Audit Committee of the Board of Directors on a quarterly basis. The following describe valuation methods for each of our financial instruments required to be measured at fair value on a recurring basis.</w:t>
      </w:r>
    </w:p>
    <w:p>
      <w:pPr>
        <w:spacing w:after="0" w:line="22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52"/>
          </w:cols>
          <w:pgMar w:left="248" w:top="121" w:right="299" w:bottom="1440" w:gutter="0" w:footer="0" w:header="0"/>
        </w:sectPr>
      </w:pPr>
    </w:p>
    <w:bookmarkStart w:id="108" w:name="page109"/>
    <w:bookmarkEnd w:id="108"/>
    <w:p>
      <w:pPr>
        <w:jc w:val="center"/>
        <w:ind w:right="9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Trading Securities Held in Trust</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has investments in marketable securities that are classified as trading securities held in trust on the accompanying Consolidated Balance Sheets. The fair value of the trading securities held in trust was determined using quoted prices in active markets, considered Level 1 inputs of the fair value hierarchy. Changes in the value of trading securities are recorded within net investment (income) loss from deferred compensation plan in the accompanying Consolidated Statements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Changes in these credit valuation adjustments are not expected to result in a significant change in the valuation of the Company's derivatives.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fair value measurements recorded on a recurring basis at December 31, 2012 and 2011, respectively (in thousands):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Fair Value Measurements at December 31, 2012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3"/>
                <w:szCs w:val="13"/>
                <w:color w:val="auto"/>
              </w:rPr>
            </w:pP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Identical Assets</w:t>
            </w:r>
          </w:p>
        </w:tc>
        <w:tc>
          <w:tcPr>
            <w:tcW w:w="20" w:type="dxa"/>
            <w:vAlign w:val="bottom"/>
          </w:tcPr>
          <w:p>
            <w:pPr>
              <w:spacing w:after="0"/>
              <w:rPr>
                <w:sz w:val="16"/>
                <w:szCs w:val="16"/>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6"/>
                <w:szCs w:val="16"/>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Arial" w:cs="Arial" w:eastAsia="Arial" w:hAnsi="Arial"/>
                <w:sz w:val="14"/>
                <w:szCs w:val="14"/>
                <w:b w:val="1"/>
                <w:bCs w:val="1"/>
                <w:color w:val="auto"/>
              </w:rPr>
              <w:t>Assets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Trading securities held in trust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23,429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Arial" w:cs="Arial" w:eastAsia="Arial" w:hAnsi="Arial"/>
                <w:sz w:val="18"/>
                <w:szCs w:val="18"/>
                <w:color w:val="auto"/>
              </w:rPr>
              <w:t>Interest rate derivatives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1460" w:type="dxa"/>
            <w:vAlign w:val="bottom"/>
            <w:gridSpan w:val="3"/>
          </w:tcPr>
          <w:p>
            <w:pPr>
              <w:jc w:val="right"/>
              <w:ind w:right="84"/>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23,429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Liabilities:</w:t>
            </w: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2800" w:type="dxa"/>
            <w:vAlign w:val="bottom"/>
            <w:gridSpan w:val="6"/>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right"/>
              <w:ind w:right="1044"/>
              <w:spacing w:after="0"/>
              <w:rPr>
                <w:sz w:val="20"/>
                <w:szCs w:val="20"/>
                <w:color w:val="auto"/>
              </w:rPr>
            </w:pPr>
            <w:r>
              <w:rPr>
                <w:rFonts w:ascii="Arial" w:cs="Arial" w:eastAsia="Arial" w:hAnsi="Arial"/>
                <w:sz w:val="14"/>
                <w:szCs w:val="14"/>
                <w:b w:val="1"/>
                <w:bCs w:val="1"/>
                <w:color w:val="auto"/>
                <w:w w:val="93"/>
              </w:rPr>
              <w:t>Fair Value Measurements at December 31, 2011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Identical 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gridSpan w:val="6"/>
          </w:tcPr>
          <w:p>
            <w:pPr>
              <w:ind w:left="20"/>
              <w:spacing w:after="0"/>
              <w:rPr>
                <w:sz w:val="20"/>
                <w:szCs w:val="20"/>
                <w:color w:val="auto"/>
              </w:rPr>
            </w:pPr>
            <w:r>
              <w:rPr>
                <w:rFonts w:ascii="Arial" w:cs="Arial" w:eastAsia="Arial" w:hAnsi="Arial"/>
                <w:sz w:val="14"/>
                <w:szCs w:val="14"/>
                <w:b w:val="1"/>
                <w:bCs w:val="1"/>
                <w:color w:val="auto"/>
              </w:rPr>
              <w:t>Assets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Trading securities held in trust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21,713</w:t>
            </w:r>
          </w:p>
        </w:tc>
        <w:tc>
          <w:tcPr>
            <w:tcW w:w="14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21,713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2800" w:type="dxa"/>
            <w:vAlign w:val="bottom"/>
            <w:gridSpan w:val="6"/>
          </w:tcPr>
          <w:p>
            <w:pPr>
              <w:ind w:left="20"/>
              <w:spacing w:after="0"/>
              <w:rPr>
                <w:sz w:val="20"/>
                <w:szCs w:val="20"/>
                <w:color w:val="auto"/>
              </w:rPr>
            </w:pPr>
            <w:r>
              <w:rPr>
                <w:rFonts w:ascii="Arial" w:cs="Arial" w:eastAsia="Arial" w:hAnsi="Arial"/>
                <w:sz w:val="14"/>
                <w:szCs w:val="14"/>
                <w:b w:val="1"/>
                <w:bCs w:val="1"/>
                <w:color w:val="auto"/>
              </w:rPr>
              <w:t>Liabilities: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46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23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1220" w:top="121" w:right="299" w:bottom="1440" w:gutter="0" w:footer="0" w:header="0"/>
        </w:sectPr>
      </w:pPr>
    </w:p>
    <w:bookmarkStart w:id="109" w:name="page110"/>
    <w:bookmarkEnd w:id="109"/>
    <w:p>
      <w:pPr>
        <w:jc w:val="center"/>
        <w:ind w:right="9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fair value measurements recorded on a nonrecurring basis at December 31, 2012 and 2011, respectively (in thousands):</w:t>
      </w:r>
    </w:p>
    <w:p>
      <w:pPr>
        <w:spacing w:after="0" w:line="253"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rPr>
              <w:t>Fair Value Measurements at December 31, 2012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Quoted Prices</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 Active</w:t>
            </w: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Identical</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Assets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Assets</w:t>
            </w:r>
          </w:p>
        </w:tc>
        <w:tc>
          <w:tcPr>
            <w:tcW w:w="2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Total Losses</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1"/>
        </w:trPr>
        <w:tc>
          <w:tcPr>
            <w:tcW w:w="3320" w:type="dxa"/>
            <w:vAlign w:val="bottom"/>
            <w:gridSpan w:val="3"/>
            <w:vMerge w:val="restart"/>
          </w:tcPr>
          <w:p>
            <w:pPr>
              <w:ind w:left="20"/>
              <w:spacing w:after="0"/>
              <w:rPr>
                <w:sz w:val="20"/>
                <w:szCs w:val="20"/>
                <w:color w:val="auto"/>
              </w:rPr>
            </w:pPr>
            <w:r>
              <w:rPr>
                <w:rFonts w:ascii="Arial" w:cs="Arial" w:eastAsia="Arial" w:hAnsi="Arial"/>
                <w:sz w:val="18"/>
                <w:szCs w:val="18"/>
                <w:color w:val="auto"/>
              </w:rPr>
              <w:t>Long-lived assets held and used</w:t>
            </w: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320" w:type="dxa"/>
            <w:vAlign w:val="bottom"/>
            <w:gridSpan w:val="3"/>
            <w:vMerge w:val="continue"/>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and development properties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49,673</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49,673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700" w:hanging="193"/>
        <w:spacing w:after="0" w:line="202" w:lineRule="auto"/>
        <w:tabs>
          <w:tab w:leader="none" w:pos="700" w:val="left"/>
        </w:tabs>
        <w:numPr>
          <w:ilvl w:val="0"/>
          <w:numId w:val="50"/>
        </w:numPr>
        <w:rPr>
          <w:rFonts w:ascii="Arial" w:cs="Arial" w:eastAsia="Arial" w:hAnsi="Arial"/>
          <w:sz w:val="23"/>
          <w:szCs w:val="23"/>
          <w:color w:val="auto"/>
          <w:vertAlign w:val="superscript"/>
        </w:rPr>
      </w:pPr>
      <w:r>
        <w:rPr>
          <w:rFonts w:ascii="Arial" w:cs="Arial" w:eastAsia="Arial" w:hAnsi="Arial"/>
          <w:sz w:val="15"/>
          <w:szCs w:val="15"/>
          <w:color w:val="auto"/>
        </w:rPr>
        <w:t>Excludes impairments for properties sold during the year ended December 31, 2012.</w:t>
      </w:r>
    </w:p>
    <w:p>
      <w:pPr>
        <w:spacing w:after="0" w:line="241"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Fair Value Measurements at December 31, 2011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Quoted Prices</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Significant</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Identical</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Assets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Inputs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Assets</w:t>
            </w:r>
          </w:p>
        </w:tc>
        <w:tc>
          <w:tcPr>
            <w:tcW w:w="2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Total Losses</w:t>
            </w:r>
            <w:r>
              <w:rPr>
                <w:rFonts w:ascii="Arial" w:cs="Arial" w:eastAsia="Arial" w:hAnsi="Arial"/>
                <w:sz w:val="8"/>
                <w:szCs w:val="8"/>
                <w:b w:val="1"/>
                <w:bCs w:val="1"/>
                <w:color w:val="auto"/>
                <w:w w:val="90"/>
              </w:rPr>
              <w:t>(1)</w:t>
            </w:r>
          </w:p>
        </w:tc>
        <w:tc>
          <w:tcPr>
            <w:tcW w:w="0" w:type="dxa"/>
            <w:vAlign w:val="bottom"/>
          </w:tcPr>
          <w:p>
            <w:pPr>
              <w:spacing w:after="0"/>
              <w:rPr>
                <w:sz w:val="1"/>
                <w:szCs w:val="1"/>
                <w:color w:val="auto"/>
              </w:rPr>
            </w:pPr>
          </w:p>
        </w:tc>
      </w:tr>
      <w:tr>
        <w:trPr>
          <w:trHeight w:val="21"/>
        </w:trPr>
        <w:tc>
          <w:tcPr>
            <w:tcW w:w="3320" w:type="dxa"/>
            <w:vAlign w:val="bottom"/>
            <w:gridSpan w:val="3"/>
            <w:vMerge w:val="restart"/>
          </w:tcPr>
          <w:p>
            <w:pPr>
              <w:ind w:left="20"/>
              <w:spacing w:after="0"/>
              <w:rPr>
                <w:sz w:val="20"/>
                <w:szCs w:val="20"/>
                <w:color w:val="auto"/>
              </w:rPr>
            </w:pPr>
            <w:r>
              <w:rPr>
                <w:rFonts w:ascii="Arial" w:cs="Arial" w:eastAsia="Arial" w:hAnsi="Arial"/>
                <w:sz w:val="18"/>
                <w:szCs w:val="18"/>
                <w:color w:val="auto"/>
              </w:rPr>
              <w:t>Long-lived assets held and used</w:t>
            </w: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320" w:type="dxa"/>
            <w:vAlign w:val="bottom"/>
            <w:gridSpan w:val="3"/>
            <w:vMerge w:val="continue"/>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and development properties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0" w:type="dxa"/>
            <w:vAlign w:val="bottom"/>
          </w:tcPr>
          <w:p>
            <w:pPr>
              <w:spacing w:after="0"/>
              <w:rPr>
                <w:sz w:val="1"/>
                <w:szCs w:val="1"/>
                <w:color w:val="auto"/>
              </w:rPr>
            </w:pPr>
          </w:p>
        </w:tc>
      </w:tr>
      <w:tr>
        <w:trPr>
          <w:trHeight w:val="243"/>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Investment in real estate partnerships</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7,413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0" w:type="dxa"/>
            <w:vAlign w:val="bottom"/>
          </w:tcPr>
          <w:p>
            <w:pPr>
              <w:spacing w:after="0"/>
              <w:rPr>
                <w:sz w:val="1"/>
                <w:szCs w:val="1"/>
                <w:color w:val="auto"/>
              </w:rPr>
            </w:pPr>
          </w:p>
        </w:tc>
      </w:tr>
    </w:tbl>
    <w:p>
      <w:pPr>
        <w:ind w:left="700" w:hanging="193"/>
        <w:spacing w:after="0" w:line="202" w:lineRule="auto"/>
        <w:tabs>
          <w:tab w:leader="none" w:pos="70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Excludes impairments for properties sold during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-132080</wp:posOffset>
            </wp:positionV>
            <wp:extent cx="3370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Long-lived assets held and used are comprised primarily of real estate. The Company recognized a $54.5 million impairment loss related to two operating properties during the year ended December 31, 2012. The Company has determined that it is more likely than not that one of the properties will be sold before the end of its previously estimated useful life, and the other property was exhibiting weak operating fundamentals including low economic occupancy for an extended period of time, which led to the impairments. As a result, the Company estimated the fair value of the properties and recorded the impairment losses. As discussed in Note 1, the Company considers a property to be held-for-sale when the property is under contract, significant non-refundable deposits have been made by the potential buyer, the assets are immediately available for transfer, and there are no contingencies related to the sale that may prevent the transaction from closing. Given the nature of all real estate sales contracts, these conditions or criteria are typically not satisfied until the actual closing of the transaction. However, each potential transaction is evaluated based on its separate facts and circumstances. The Company evaluated these properties and determined that they did not meet the criteria for held-for-sale as of December 31, 2012.</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recognized a $16.4 million impairment loss related to one operating property and the Company's investment in a real estate partnership during the year ended December 31, 2011. This operating property exhibited weak operating fundamentals, including low economic occupancy for an extended period of time, which lead to the impairment. As a result, the Company estimated the fair value of the properties and recorded an impairment loss.</w:t>
      </w: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380"/>
          </w:cols>
          <w:pgMar w:left="1220" w:top="121" w:right="299" w:bottom="1440" w:gutter="0" w:footer="0" w:header="0"/>
        </w:sectPr>
      </w:pPr>
    </w:p>
    <w:bookmarkStart w:id="110" w:name="page111"/>
    <w:bookmarkEnd w:id="110"/>
    <w:p>
      <w:pPr>
        <w:jc w:val="center"/>
        <w:ind w:right="9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Fair value for those assets measured using Level 3 inputs was determined through the use of an income approach. The income approach estimates an income stream for a property (typically 10 years) and discounts this income plus a reversion (presumed sale) into a present value at a risk adjusted rate. Overall cap rates and growth assumptions utilized in this approach are derived from market transactions as well as other financial and industry data. The terminal cap rate and discount rate are significant inputs to this valuation. The following are ranges of key inputs used in determining the fair value of real estate measured using Level 3 inputs as of December 31, 2012 and 2011:</w:t>
      </w:r>
    </w:p>
    <w:p>
      <w:pPr>
        <w:spacing w:after="0" w:line="277"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80" w:type="dxa"/>
            <w:vAlign w:val="bottom"/>
            <w:gridSpan w:val="3"/>
          </w:tcPr>
          <w:p>
            <w:pPr>
              <w:jc w:val="right"/>
              <w:ind w:right="13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20" w:type="dxa"/>
            <w:vAlign w:val="bottom"/>
            <w:gridSpan w:val="3"/>
          </w:tcPr>
          <w:p>
            <w:pPr>
              <w:jc w:val="right"/>
              <w:ind w:right="1350"/>
              <w:spacing w:after="0"/>
              <w:rPr>
                <w:sz w:val="20"/>
                <w:szCs w:val="20"/>
                <w:color w:val="auto"/>
              </w:rPr>
            </w:pPr>
            <w:r>
              <w:rPr>
                <w:rFonts w:ascii="Arial" w:cs="Arial" w:eastAsia="Arial" w:hAnsi="Arial"/>
                <w:sz w:val="18"/>
                <w:szCs w:val="18"/>
                <w:b w:val="1"/>
                <w:bCs w:val="1"/>
                <w:color w:val="auto"/>
              </w:rPr>
              <w:t>2011</w:t>
            </w:r>
          </w:p>
        </w:tc>
      </w:tr>
      <w:tr>
        <w:trPr>
          <w:trHeight w:val="27"/>
        </w:trPr>
        <w:tc>
          <w:tcPr>
            <w:tcW w:w="20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220" w:type="dxa"/>
            <w:vAlign w:val="bottom"/>
          </w:tcPr>
          <w:p>
            <w:pPr>
              <w:ind w:left="60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580"/>
              <w:spacing w:after="0"/>
              <w:rPr>
                <w:sz w:val="20"/>
                <w:szCs w:val="20"/>
                <w:color w:val="auto"/>
              </w:rPr>
            </w:pPr>
            <w:r>
              <w:rPr>
                <w:rFonts w:ascii="Arial" w:cs="Arial" w:eastAsia="Arial" w:hAnsi="Arial"/>
                <w:sz w:val="18"/>
                <w:szCs w:val="18"/>
                <w:b w:val="1"/>
                <w:bCs w:val="1"/>
                <w:color w:val="auto"/>
              </w:rPr>
              <w:t>High</w:t>
            </w:r>
          </w:p>
        </w:tc>
        <w:tc>
          <w:tcPr>
            <w:tcW w:w="1200" w:type="dxa"/>
            <w:vAlign w:val="bottom"/>
          </w:tcPr>
          <w:p>
            <w:pPr>
              <w:ind w:left="600"/>
              <w:spacing w:after="0"/>
              <w:rPr>
                <w:sz w:val="20"/>
                <w:szCs w:val="20"/>
                <w:color w:val="auto"/>
              </w:rPr>
            </w:pPr>
            <w:r>
              <w:rPr>
                <w:rFonts w:ascii="Arial" w:cs="Arial" w:eastAsia="Arial" w:hAnsi="Arial"/>
                <w:sz w:val="18"/>
                <w:szCs w:val="18"/>
                <w:b w:val="1"/>
                <w:bCs w:val="1"/>
                <w:color w:val="auto"/>
              </w:rPr>
              <w:t>Low</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High</w:t>
            </w:r>
          </w:p>
        </w:tc>
      </w:tr>
      <w:tr>
        <w:trPr>
          <w:trHeight w:val="27"/>
        </w:trPr>
        <w:tc>
          <w:tcPr>
            <w:tcW w:w="20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Overall cap rates</w:t>
            </w:r>
          </w:p>
        </w:tc>
        <w:tc>
          <w:tcPr>
            <w:tcW w:w="12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8.3%</w:t>
            </w:r>
          </w:p>
        </w:tc>
        <w:tc>
          <w:tcPr>
            <w:tcW w:w="198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8.5%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7.5%</w:t>
            </w:r>
          </w:p>
        </w:tc>
        <w:tc>
          <w:tcPr>
            <w:tcW w:w="202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87"/>
              </w:rPr>
              <w:t>9.0%</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Rental growth rates</w:t>
            </w:r>
          </w:p>
        </w:tc>
        <w:tc>
          <w:tcPr>
            <w:tcW w:w="1220" w:type="dxa"/>
            <w:vAlign w:val="bottom"/>
          </w:tcPr>
          <w:p>
            <w:pPr>
              <w:jc w:val="center"/>
              <w:ind w:left="210"/>
              <w:spacing w:after="0"/>
              <w:rPr>
                <w:sz w:val="20"/>
                <w:szCs w:val="20"/>
                <w:color w:val="auto"/>
              </w:rPr>
            </w:pPr>
            <w:r>
              <w:rPr>
                <w:rFonts w:ascii="Arial" w:cs="Arial" w:eastAsia="Arial" w:hAnsi="Arial"/>
                <w:sz w:val="18"/>
                <w:szCs w:val="18"/>
                <w:color w:val="auto"/>
                <w:w w:val="90"/>
              </w:rPr>
              <w:t>(8.3)%</w:t>
            </w:r>
          </w:p>
        </w:tc>
        <w:tc>
          <w:tcPr>
            <w:tcW w:w="198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2.5%</w:t>
            </w:r>
          </w:p>
        </w:tc>
        <w:tc>
          <w:tcPr>
            <w:tcW w:w="160" w:type="dxa"/>
            <w:vAlign w:val="bottom"/>
          </w:tcPr>
          <w:p>
            <w:pPr>
              <w:spacing w:after="0"/>
              <w:rPr>
                <w:sz w:val="21"/>
                <w:szCs w:val="21"/>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rPr>
              <w:t>2.0%</w:t>
            </w:r>
          </w:p>
        </w:tc>
        <w:tc>
          <w:tcPr>
            <w:tcW w:w="2020" w:type="dxa"/>
            <w:vAlign w:val="bottom"/>
            <w:gridSpan w:val="3"/>
          </w:tcPr>
          <w:p>
            <w:pPr>
              <w:jc w:val="center"/>
              <w:ind w:left="370"/>
              <w:spacing w:after="0"/>
              <w:rPr>
                <w:sz w:val="20"/>
                <w:szCs w:val="20"/>
                <w:color w:val="auto"/>
              </w:rPr>
            </w:pPr>
            <w:r>
              <w:rPr>
                <w:rFonts w:ascii="Arial" w:cs="Arial" w:eastAsia="Arial" w:hAnsi="Arial"/>
                <w:sz w:val="18"/>
                <w:szCs w:val="18"/>
                <w:color w:val="auto"/>
                <w:w w:val="87"/>
              </w:rPr>
              <w:t>3.0%</w:t>
            </w:r>
          </w:p>
        </w:tc>
      </w:tr>
      <w:tr>
        <w:trPr>
          <w:trHeight w:val="27"/>
        </w:trPr>
        <w:tc>
          <w:tcPr>
            <w:tcW w:w="2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20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1220" w:type="dxa"/>
            <w:vAlign w:val="bottom"/>
          </w:tcPr>
          <w:p>
            <w:pPr>
              <w:jc w:val="center"/>
              <w:ind w:left="210"/>
              <w:spacing w:after="0"/>
              <w:rPr>
                <w:sz w:val="20"/>
                <w:szCs w:val="20"/>
                <w:color w:val="auto"/>
              </w:rPr>
            </w:pPr>
            <w:r>
              <w:rPr>
                <w:rFonts w:ascii="Arial" w:cs="Arial" w:eastAsia="Arial" w:hAnsi="Arial"/>
                <w:sz w:val="18"/>
                <w:szCs w:val="18"/>
                <w:color w:val="auto"/>
                <w:w w:val="93"/>
              </w:rPr>
              <w:t>10.5%</w:t>
            </w:r>
          </w:p>
        </w:tc>
        <w:tc>
          <w:tcPr>
            <w:tcW w:w="19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10.5%</w:t>
            </w:r>
          </w:p>
        </w:tc>
        <w:tc>
          <w:tcPr>
            <w:tcW w:w="160" w:type="dxa"/>
            <w:vAlign w:val="bottom"/>
          </w:tcPr>
          <w:p>
            <w:pPr>
              <w:spacing w:after="0"/>
              <w:rPr>
                <w:sz w:val="21"/>
                <w:szCs w:val="21"/>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rPr>
              <w:t>8.5%</w:t>
            </w:r>
          </w:p>
        </w:tc>
        <w:tc>
          <w:tcPr>
            <w:tcW w:w="202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10.0%</w:t>
            </w:r>
          </w:p>
        </w:tc>
      </w:tr>
      <w:tr>
        <w:trPr>
          <w:trHeight w:val="27"/>
        </w:trPr>
        <w:tc>
          <w:tcPr>
            <w:tcW w:w="2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Terminal cap rates</w:t>
            </w:r>
          </w:p>
        </w:tc>
        <w:tc>
          <w:tcPr>
            <w:tcW w:w="12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7"/>
              </w:rPr>
              <w:t>8.8%</w:t>
            </w:r>
          </w:p>
        </w:tc>
        <w:tc>
          <w:tcPr>
            <w:tcW w:w="198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8.8%</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8.0%</w:t>
            </w:r>
          </w:p>
        </w:tc>
        <w:tc>
          <w:tcPr>
            <w:tcW w:w="202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87"/>
              </w:rPr>
              <w:t>9.5%</w:t>
            </w:r>
          </w:p>
        </w:tc>
      </w:tr>
      <w:tr>
        <w:trPr>
          <w:trHeight w:val="27"/>
        </w:trPr>
        <w:tc>
          <w:tcPr>
            <w:tcW w:w="20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Changes in these inputs could result in a significant change in the valuation of the real estate and a change in the impairment loss recognized during the period.</w:t>
      </w:r>
    </w:p>
    <w:p>
      <w:pPr>
        <w:spacing w:after="0" w:line="19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380"/>
          </w:cols>
          <w:pgMar w:left="1220" w:top="121" w:right="299" w:bottom="1440" w:gutter="0" w:footer="0" w:header="0"/>
        </w:sectPr>
      </w:pPr>
    </w:p>
    <w:bookmarkStart w:id="111" w:name="page112"/>
    <w:bookmarkEnd w:id="111"/>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Equity and Capital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Preferred Stock of the Parent Company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Issuances:</w:t>
      </w:r>
    </w:p>
    <w:p>
      <w:pPr>
        <w:spacing w:after="0" w:line="171"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On February 16, 2012, the Parent Company issued 10 million shares of 6.625% Series 6 Cumulative Redeemable Preferred Stock with a liquidation preference of $25 per share resulting in proceeds of $241.4 million, net of issuance costs, which were subsequently contributed to the Operating Partnership to redeem similar preferred unit interests as further discussed below.</w:t>
      </w:r>
    </w:p>
    <w:p>
      <w:pPr>
        <w:spacing w:after="0" w:line="127" w:lineRule="exact"/>
        <w:rPr>
          <w:sz w:val="20"/>
          <w:szCs w:val="20"/>
          <w:color w:val="auto"/>
        </w:rPr>
      </w:pPr>
    </w:p>
    <w:p>
      <w:pPr>
        <w:ind w:left="980" w:right="80"/>
        <w:spacing w:after="0" w:line="264" w:lineRule="auto"/>
        <w:rPr>
          <w:sz w:val="20"/>
          <w:szCs w:val="20"/>
          <w:color w:val="auto"/>
        </w:rPr>
      </w:pPr>
      <w:r>
        <w:rPr>
          <w:rFonts w:ascii="Arial" w:cs="Arial" w:eastAsia="Arial" w:hAnsi="Arial"/>
          <w:sz w:val="18"/>
          <w:szCs w:val="18"/>
          <w:color w:val="auto"/>
        </w:rPr>
        <w:t>On August 23, 2012, the Parent Company issued 3 million shares of 6.00% Series 7 Cumulative Redeemable Preferred Stock with a liquidation preference of $25 per share resulting in proceeds of $72.5 million, net of issuance costs, which were subsequently used to redeem the Company's Series 5 Cumulative Redeemable Preferred Stock as further discussed below.</w:t>
      </w:r>
    </w:p>
    <w:p>
      <w:pPr>
        <w:spacing w:after="0" w:line="127" w:lineRule="exact"/>
        <w:rPr>
          <w:sz w:val="20"/>
          <w:szCs w:val="20"/>
          <w:color w:val="auto"/>
        </w:rPr>
      </w:pPr>
    </w:p>
    <w:p>
      <w:pPr>
        <w:ind w:left="980" w:right="140"/>
        <w:spacing w:after="0" w:line="259" w:lineRule="auto"/>
        <w:rPr>
          <w:sz w:val="20"/>
          <w:szCs w:val="20"/>
          <w:color w:val="auto"/>
        </w:rPr>
      </w:pPr>
      <w:r>
        <w:rPr>
          <w:rFonts w:ascii="Arial" w:cs="Arial" w:eastAsia="Arial" w:hAnsi="Arial"/>
          <w:sz w:val="18"/>
          <w:szCs w:val="18"/>
          <w:color w:val="auto"/>
        </w:rPr>
        <w:t>The Series 6 and 7 preferred shares are perpetual, absent a change in control of the Parent Company, are not convertible into common stock of the Parent Company, and are redeemable at par upon the Company’s election beginning five years after the issuance date. None of the terms of the preferred stock contain any unconditional obligations that would require the Company to redeem the securities at any time or for any purpose.</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Redemptions:</w:t>
      </w:r>
    </w:p>
    <w:p>
      <w:pPr>
        <w:spacing w:after="0" w:line="171" w:lineRule="exact"/>
        <w:rPr>
          <w:sz w:val="20"/>
          <w:szCs w:val="20"/>
          <w:color w:val="auto"/>
        </w:rPr>
      </w:pPr>
    </w:p>
    <w:p>
      <w:pPr>
        <w:ind w:left="980" w:right="420"/>
        <w:spacing w:after="0" w:line="257" w:lineRule="auto"/>
        <w:rPr>
          <w:sz w:val="20"/>
          <w:szCs w:val="20"/>
          <w:color w:val="auto"/>
        </w:rPr>
      </w:pPr>
      <w:r>
        <w:rPr>
          <w:rFonts w:ascii="Arial" w:cs="Arial" w:eastAsia="Arial" w:hAnsi="Arial"/>
          <w:sz w:val="18"/>
          <w:szCs w:val="18"/>
          <w:color w:val="auto"/>
        </w:rPr>
        <w:t>On March 31, 2012, the Parent Company redeemed all issued and outstanding shares of its Series 3 and Series 4 Cumulative Redeemable Preferred Stock and on September 13, 2012, the Parent Company redeemed all issued and outstanding shares of its Series 5 Cumulative Redeemable Preferred Stock. These redemptions resulted in a reduction to net income available to common stockholders through non-cash charges of $7.0 million and $2.3 million, respectively, related to original issuance costs, which are included within the following financial statement line items:</w:t>
      </w:r>
    </w:p>
    <w:p>
      <w:pPr>
        <w:sectPr>
          <w:pgSz w:w="11900" w:h="16838" w:orient="portrait"/>
          <w:cols w:equalWidth="0" w:num="1">
            <w:col w:w="11400"/>
          </w:cols>
          <w:pgMar w:left="240" w:top="121" w:right="259" w:bottom="1440" w:gutter="0" w:footer="0" w:header="0"/>
        </w:sectPr>
      </w:pPr>
    </w:p>
    <w:p>
      <w:pPr>
        <w:spacing w:after="0" w:line="134"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Parent Company</w:t>
      </w:r>
    </w:p>
    <w:p>
      <w:pPr>
        <w:spacing w:after="0" w:line="63"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Consolidated Statements of Operations</w:t>
      </w:r>
    </w:p>
    <w:p>
      <w:pPr>
        <w:spacing w:after="0" w:line="8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Statements of Equity</w:t>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Operating Partnership</w:t>
      </w:r>
    </w:p>
    <w:p>
      <w:pPr>
        <w:spacing w:after="0" w:line="63"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Consolidated Statements of Operations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Consolidated Statements of Capital</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1000"/>
        <w:spacing w:after="0"/>
        <w:rPr>
          <w:sz w:val="20"/>
          <w:szCs w:val="20"/>
          <w:color w:val="auto"/>
        </w:rPr>
      </w:pPr>
      <w:r>
        <w:rPr>
          <w:rFonts w:ascii="Arial" w:cs="Arial" w:eastAsia="Arial" w:hAnsi="Arial"/>
          <w:sz w:val="18"/>
          <w:szCs w:val="18"/>
          <w:u w:val="single" w:color="auto"/>
          <w:color w:val="auto"/>
        </w:rPr>
        <w:t>Financial Statement Line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31750</wp:posOffset>
            </wp:positionV>
            <wp:extent cx="538543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85435" cy="171450"/>
                    </a:xfrm>
                    <a:prstGeom prst="rect">
                      <a:avLst/>
                    </a:prstGeom>
                    <a:noFill/>
                  </pic:spPr>
                </pic:pic>
              </a:graphicData>
            </a:graphic>
          </wp:anchor>
        </w:drawing>
      </w:r>
    </w:p>
    <w:p>
      <w:pPr>
        <w:spacing w:after="0" w:line="4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Preferred stock dividends</w:t>
      </w:r>
    </w:p>
    <w:p>
      <w:pPr>
        <w:spacing w:after="0" w:line="6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Redemption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31750</wp:posOffset>
            </wp:positionV>
            <wp:extent cx="538543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85435" cy="171450"/>
                    </a:xfrm>
                    <a:prstGeom prst="rect">
                      <a:avLst/>
                    </a:prstGeom>
                    <a:noFill/>
                  </pic:spPr>
                </pic:pic>
              </a:graphicData>
            </a:graphic>
          </wp:anchor>
        </w:drawing>
      </w:r>
    </w:p>
    <w:p>
      <w:pPr>
        <w:spacing w:after="0" w:line="31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Preferred unit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31750</wp:posOffset>
            </wp:positionV>
            <wp:extent cx="5385435"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85435" cy="308610"/>
                    </a:xfrm>
                    <a:prstGeom prst="rect">
                      <a:avLst/>
                    </a:prstGeom>
                    <a:noFill/>
                  </pic:spPr>
                </pic:pic>
              </a:graphicData>
            </a:graphic>
          </wp:anchor>
        </w:drawing>
      </w:r>
    </w:p>
    <w:p>
      <w:pPr>
        <w:spacing w:after="0" w:line="43" w:lineRule="exact"/>
        <w:rPr>
          <w:sz w:val="20"/>
          <w:szCs w:val="20"/>
          <w:color w:val="auto"/>
        </w:rPr>
      </w:pPr>
    </w:p>
    <w:p>
      <w:pPr>
        <w:ind w:right="1000" w:firstLine="39"/>
        <w:spacing w:after="0" w:line="342" w:lineRule="auto"/>
        <w:rPr>
          <w:sz w:val="20"/>
          <w:szCs w:val="20"/>
          <w:color w:val="auto"/>
        </w:rPr>
      </w:pPr>
      <w:r>
        <w:rPr>
          <w:rFonts w:ascii="Arial" w:cs="Arial" w:eastAsia="Arial" w:hAnsi="Arial"/>
          <w:sz w:val="16"/>
          <w:szCs w:val="16"/>
          <w:color w:val="auto"/>
        </w:rPr>
        <w:t>Preferred units issued as a result of preferred stock issued by Parent Company, net of redemptions and issuance costs</w:t>
      </w:r>
    </w:p>
    <w:p>
      <w:pPr>
        <w:spacing w:after="0" w:line="97" w:lineRule="exact"/>
        <w:rPr>
          <w:sz w:val="20"/>
          <w:szCs w:val="20"/>
          <w:color w:val="auto"/>
        </w:rPr>
      </w:pPr>
    </w:p>
    <w:p>
      <w:pPr>
        <w:sectPr>
          <w:pgSz w:w="11900" w:h="16838" w:orient="portrait"/>
          <w:cols w:equalWidth="0" w:num="2">
            <w:col w:w="5440" w:space="720"/>
            <w:col w:w="5240"/>
          </w:cols>
          <w:pgMar w:left="240" w:top="121" w:right="259" w:bottom="1440" w:gutter="0" w:footer="0" w:header="0"/>
          <w:type w:val="continuous"/>
        </w:sectPr>
      </w:pPr>
    </w:p>
    <w:p>
      <w:pPr>
        <w:ind w:left="980"/>
        <w:spacing w:after="0"/>
        <w:rPr>
          <w:sz w:val="20"/>
          <w:szCs w:val="20"/>
          <w:color w:val="auto"/>
        </w:rPr>
      </w:pPr>
      <w:r>
        <w:rPr>
          <w:rFonts w:ascii="Arial" w:cs="Arial" w:eastAsia="Arial" w:hAnsi="Arial"/>
          <w:sz w:val="18"/>
          <w:szCs w:val="18"/>
          <w:color w:val="auto"/>
        </w:rPr>
        <w:t>Terms and conditions of the preferred stock outstanding at December 31, 2012 and 2011 are summarized as follows:</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Preferred Stock Outstanding at December 31, 2012</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20" w:type="dxa"/>
            <w:vAlign w:val="bottom"/>
            <w:vMerge w:val="restart"/>
          </w:tcPr>
          <w:p>
            <w:pPr>
              <w:spacing w:after="0"/>
              <w:rPr>
                <w:sz w:val="13"/>
                <w:szCs w:val="13"/>
                <w:color w:val="auto"/>
              </w:rPr>
            </w:pPr>
          </w:p>
        </w:tc>
        <w:tc>
          <w:tcPr>
            <w:tcW w:w="1840" w:type="dxa"/>
            <w:vAlign w:val="bottom"/>
            <w:gridSpan w:val="2"/>
          </w:tcPr>
          <w:p>
            <w:pPr>
              <w:ind w:left="660"/>
              <w:spacing w:after="0" w:line="153"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3"/>
                <w:szCs w:val="13"/>
                <w:color w:val="auto"/>
              </w:rPr>
            </w:pPr>
          </w:p>
        </w:tc>
        <w:tc>
          <w:tcPr>
            <w:tcW w:w="146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Liquidation</w:t>
            </w:r>
          </w:p>
        </w:tc>
        <w:tc>
          <w:tcPr>
            <w:tcW w:w="1840" w:type="dxa"/>
            <w:vAlign w:val="bottom"/>
            <w:gridSpan w:val="2"/>
          </w:tcPr>
          <w:p>
            <w:pPr>
              <w:ind w:left="540"/>
              <w:spacing w:after="0" w:line="153" w:lineRule="exact"/>
              <w:rPr>
                <w:sz w:val="20"/>
                <w:szCs w:val="20"/>
                <w:color w:val="auto"/>
              </w:rPr>
            </w:pPr>
            <w:r>
              <w:rPr>
                <w:rFonts w:ascii="Arial" w:cs="Arial" w:eastAsia="Arial" w:hAnsi="Arial"/>
                <w:sz w:val="14"/>
                <w:szCs w:val="14"/>
                <w:b w:val="1"/>
                <w:bCs w:val="1"/>
                <w:color w:val="auto"/>
              </w:rPr>
              <w:t>Distribution</w:t>
            </w:r>
          </w:p>
        </w:tc>
        <w:tc>
          <w:tcPr>
            <w:tcW w:w="136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Callable</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Preference</w:t>
            </w:r>
          </w:p>
        </w:tc>
        <w:tc>
          <w:tcPr>
            <w:tcW w:w="17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By Company</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6</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250,000,000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2/16/2017</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Series 7</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75,000,000</w:t>
            </w:r>
          </w:p>
        </w:tc>
        <w:tc>
          <w:tcPr>
            <w:tcW w:w="17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8/23/2017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325,000,000</w:t>
            </w: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type w:val="continuous"/>
        </w:sectPr>
      </w:pPr>
    </w:p>
    <w:bookmarkStart w:id="112" w:name="page113"/>
    <w:bookmarkEnd w:id="112"/>
    <w:p>
      <w:pPr>
        <w:jc w:val="center"/>
        <w:ind w:right="6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Preferred Stock Outstanding at December 31, 2011</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20" w:type="dxa"/>
            <w:vAlign w:val="bottom"/>
            <w:vMerge w:val="restart"/>
          </w:tcPr>
          <w:p>
            <w:pPr>
              <w:spacing w:after="0"/>
              <w:rPr>
                <w:sz w:val="13"/>
                <w:szCs w:val="13"/>
                <w:color w:val="auto"/>
              </w:rPr>
            </w:pPr>
          </w:p>
        </w:tc>
        <w:tc>
          <w:tcPr>
            <w:tcW w:w="154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2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Liquidation</w:t>
            </w:r>
          </w:p>
        </w:tc>
        <w:tc>
          <w:tcPr>
            <w:tcW w:w="100" w:type="dxa"/>
            <w:vAlign w:val="bottom"/>
          </w:tcPr>
          <w:p>
            <w:pPr>
              <w:spacing w:after="0"/>
              <w:rPr>
                <w:sz w:val="13"/>
                <w:szCs w:val="13"/>
                <w:color w:val="auto"/>
              </w:rPr>
            </w:pPr>
          </w:p>
        </w:tc>
        <w:tc>
          <w:tcPr>
            <w:tcW w:w="166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Distribution</w:t>
            </w:r>
          </w:p>
        </w:tc>
        <w:tc>
          <w:tcPr>
            <w:tcW w:w="144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Callable</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By Company</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3</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75,000,000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4/3/2008</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Series 4</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125,000,000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8/31/2009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5</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75,000,000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8/2/2010</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11,000,000</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275,000,000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of the Parent Company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Issuances:</w:t>
      </w:r>
    </w:p>
    <w:p>
      <w:pPr>
        <w:spacing w:after="0" w:line="171" w:lineRule="exact"/>
        <w:rPr>
          <w:sz w:val="20"/>
          <w:szCs w:val="20"/>
          <w:color w:val="auto"/>
        </w:rPr>
      </w:pPr>
    </w:p>
    <w:p>
      <w:pPr>
        <w:ind w:left="320" w:right="20"/>
        <w:spacing w:after="0" w:line="293" w:lineRule="auto"/>
        <w:rPr>
          <w:sz w:val="20"/>
          <w:szCs w:val="20"/>
          <w:color w:val="auto"/>
        </w:rPr>
      </w:pPr>
      <w:r>
        <w:rPr>
          <w:rFonts w:ascii="Arial" w:cs="Arial" w:eastAsia="Arial" w:hAnsi="Arial"/>
          <w:sz w:val="16"/>
          <w:szCs w:val="16"/>
          <w:color w:val="auto"/>
        </w:rPr>
        <w:t>On August 10, 2012, the Parent Company entered into an at-the-market ("ATM") equity distribution agreement under which the Company may from time to time offer and sell up to $150.0 million of our common stock. The net proceeds are expected to fund potential acquisition opportunities, fund our development or redevelopment activities, repay amounts outstanding under our revolving credit facility and/or for general corporate purposes. During the year ended December 31, 2012, 442,786 shares were issued and sold at a weighted average price per share of $49.70 for proceeds of $21.5 million, net of commissions of approximately $331,000 and issuance costs of approximately $135,000. As of December 31, 2012, we had the capacity to issue $128.0 million in common stock under our ATM equity program.</w:t>
      </w:r>
    </w:p>
    <w:p>
      <w:pPr>
        <w:spacing w:after="0" w:line="111" w:lineRule="exact"/>
        <w:rPr>
          <w:sz w:val="20"/>
          <w:szCs w:val="20"/>
          <w:color w:val="auto"/>
        </w:rPr>
      </w:pPr>
    </w:p>
    <w:p>
      <w:pPr>
        <w:ind w:left="320" w:right="180"/>
        <w:spacing w:after="0" w:line="279" w:lineRule="auto"/>
        <w:rPr>
          <w:sz w:val="20"/>
          <w:szCs w:val="20"/>
          <w:color w:val="auto"/>
        </w:rPr>
      </w:pPr>
      <w:r>
        <w:rPr>
          <w:rFonts w:ascii="Arial" w:cs="Arial" w:eastAsia="Arial" w:hAnsi="Arial"/>
          <w:sz w:val="17"/>
          <w:szCs w:val="17"/>
          <w:color w:val="auto"/>
        </w:rPr>
        <w:t>On March 9, 2011, the Parent Company settled its forward sale agreements dated December 4, 2009 (the "Forward Equity Offering") with J.P. Morgan and Wells Fargo Securities by delivering an aggregate 8 million shares of common stock. Upon physical settlement of the Forward Equity Offering, the Company received net proceeds of$215.4 million. The Company used a portion of the proceeds to repay the Line, which had been drawn upon to repay unsecured notes of $161.7 million that matured in January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Units of the Operating Partnership</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Issuances:</w:t>
      </w:r>
    </w:p>
    <w:p>
      <w:pPr>
        <w:spacing w:after="0" w:line="171" w:lineRule="exact"/>
        <w:rPr>
          <w:sz w:val="20"/>
          <w:szCs w:val="20"/>
          <w:color w:val="auto"/>
        </w:rPr>
      </w:pPr>
    </w:p>
    <w:p>
      <w:pPr>
        <w:ind w:left="320"/>
        <w:spacing w:after="0" w:line="308" w:lineRule="auto"/>
        <w:rPr>
          <w:sz w:val="20"/>
          <w:szCs w:val="20"/>
          <w:color w:val="auto"/>
        </w:rPr>
      </w:pPr>
      <w:r>
        <w:rPr>
          <w:rFonts w:ascii="Arial" w:cs="Arial" w:eastAsia="Arial" w:hAnsi="Arial"/>
          <w:sz w:val="17"/>
          <w:szCs w:val="17"/>
          <w:color w:val="auto"/>
        </w:rPr>
        <w:t>Series 6 and Series 7 preferred unit interests were issued to the Parent Company in relation to the Parent Company's issuance of 6.625% Series 6 Cumulative Redeemable Preferred Stock and 6.00% Series 7 Cumulative Redeemable Preferred Stock as discussed above.</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Redemptions:</w:t>
      </w:r>
    </w:p>
    <w:p>
      <w:pPr>
        <w:spacing w:after="0" w:line="171" w:lineRule="exact"/>
        <w:rPr>
          <w:sz w:val="20"/>
          <w:szCs w:val="20"/>
          <w:color w:val="auto"/>
        </w:rPr>
      </w:pPr>
    </w:p>
    <w:p>
      <w:pPr>
        <w:ind w:left="320" w:right="240"/>
        <w:spacing w:after="0" w:line="302" w:lineRule="auto"/>
        <w:rPr>
          <w:sz w:val="20"/>
          <w:szCs w:val="20"/>
          <w:color w:val="auto"/>
        </w:rPr>
      </w:pPr>
      <w:r>
        <w:rPr>
          <w:rFonts w:ascii="Arial" w:cs="Arial" w:eastAsia="Arial" w:hAnsi="Arial"/>
          <w:sz w:val="16"/>
          <w:szCs w:val="16"/>
          <w:color w:val="auto"/>
        </w:rPr>
        <w:t>On February 9, 2012, the Operating Partnership purchased all of its issued and outstanding Series D Preferred Units at 3.75% discount to par, resulting in an increase to net income available to common stockholders of $1.0 million, related to the discount offset by the write-off of the original issuance costs. This amount is included in preferred unit loss attributable to noncontrolling interests in the parent company's consolidated statements of operations and in preferred unit distributions in the operating partnership's consolidated statement of operations.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Terms and conditions for the Series D preferred units outstanding as of December 31, 2011 are summarized as follows: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Units Outstanding</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Distribution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Callable by</w:t>
            </w:r>
          </w:p>
        </w:tc>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Exchangeable</w:t>
            </w:r>
          </w:p>
        </w:tc>
        <w:tc>
          <w:tcPr>
            <w:tcW w:w="0" w:type="dxa"/>
            <w:vAlign w:val="bottom"/>
          </w:tcPr>
          <w:p>
            <w:pPr>
              <w:spacing w:after="0"/>
              <w:rPr>
                <w:sz w:val="1"/>
                <w:szCs w:val="1"/>
                <w:color w:val="auto"/>
              </w:rPr>
            </w:pPr>
          </w:p>
        </w:tc>
      </w:tr>
      <w:tr>
        <w:trPr>
          <w:trHeight w:val="192"/>
        </w:trPr>
        <w:tc>
          <w:tcPr>
            <w:tcW w:w="3540" w:type="dxa"/>
            <w:vAlign w:val="bottom"/>
            <w:gridSpan w:val="2"/>
            <w:vMerge w:val="continue"/>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Rate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by Unit holder</w:t>
            </w:r>
          </w:p>
        </w:tc>
        <w:tc>
          <w:tcPr>
            <w:tcW w:w="0" w:type="dxa"/>
            <w:vAlign w:val="bottom"/>
          </w:tcPr>
          <w:p>
            <w:pPr>
              <w:spacing w:after="0"/>
              <w:rPr>
                <w:sz w:val="1"/>
                <w:szCs w:val="1"/>
                <w:color w:val="auto"/>
              </w:rPr>
            </w:pPr>
          </w:p>
        </w:tc>
      </w:tr>
      <w:tr>
        <w:trPr>
          <w:trHeight w:val="243"/>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50,000,000</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9/29/2009</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1/1/2014</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20" w:right="220"/>
        <w:spacing w:after="0" w:line="308" w:lineRule="auto"/>
        <w:rPr>
          <w:sz w:val="20"/>
          <w:szCs w:val="20"/>
          <w:color w:val="auto"/>
        </w:rPr>
      </w:pPr>
      <w:r>
        <w:rPr>
          <w:rFonts w:ascii="Arial" w:cs="Arial" w:eastAsia="Arial" w:hAnsi="Arial"/>
          <w:sz w:val="17"/>
          <w:szCs w:val="17"/>
          <w:color w:val="auto"/>
        </w:rPr>
        <w:t>The Series 3, 4 and 5 preferred unit interests owned by the Parent Company, as general partner, were redeemed in conjunction with the Parent Company's redemption of its Series 3, Series 4, and Series 5 Cumulative Redeemable Preferred Stock as discussed above.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740"/>
          </w:cols>
          <w:pgMar w:left="900" w:top="121" w:right="259" w:bottom="1440" w:gutter="0" w:footer="0" w:header="0"/>
        </w:sectPr>
      </w:pPr>
    </w:p>
    <w:bookmarkStart w:id="113" w:name="page114"/>
    <w:bookmarkEnd w:id="113"/>
    <w:p>
      <w:pPr>
        <w:jc w:val="center"/>
        <w:ind w:left="300" w:right="27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Common Units of the Operating Partnership</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Issuances: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Common units were issued to the Parent Company in relation to the Parent Company's issuance of common stock, as discussed above.</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Partner</w:t>
      </w:r>
    </w:p>
    <w:p>
      <w:pPr>
        <w:spacing w:after="0" w:line="252" w:lineRule="exact"/>
        <w:rPr>
          <w:sz w:val="20"/>
          <w:szCs w:val="20"/>
          <w:color w:val="auto"/>
        </w:rPr>
      </w:pPr>
    </w:p>
    <w:p>
      <w:pPr>
        <w:ind w:left="980" w:right="20"/>
        <w:spacing w:after="0" w:line="342" w:lineRule="auto"/>
        <w:rPr>
          <w:sz w:val="20"/>
          <w:szCs w:val="20"/>
          <w:color w:val="auto"/>
        </w:rPr>
      </w:pPr>
      <w:r>
        <w:rPr>
          <w:rFonts w:ascii="Arial" w:cs="Arial" w:eastAsia="Arial" w:hAnsi="Arial"/>
          <w:sz w:val="16"/>
          <w:szCs w:val="16"/>
          <w:color w:val="auto"/>
        </w:rPr>
        <w:t>As of December 31, 2012 and 2011, the Parent Company, as general partner, owned approximately 99.8% or 90,394,486 of the total 90,571,650 Partnership Units outstanding and approximately 99.8% or 89,921,858 of the total 90,099,022 Partnership Units outstanding, respectively.</w:t>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Limited Partners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Operating Partnership had 177,164 limited Partnership Units outstanding as of December 31, 2012 and 2011.</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Noncontrolling Interests of Limited Partners' Interests in Consolidated Partnerships</w:t>
      </w:r>
    </w:p>
    <w:p>
      <w:pPr>
        <w:spacing w:after="0" w:line="171"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Limited partners’ interests in consolidated partnerships not owned by the Company are classified as noncontrolling interests on the accompanying Consolidated Balance Sheets of the Parent Company. Subject to certain conditions and pursuant to the conditions of the agreement, the Company has the right, but not the obligation, to purchase the other member’s interest or sell its own interest in these consolidated partnerships. At December 31, 2012 and 2011, the Company’s noncontrolling interest in these consolidated partnerships was $16.3 million and $13.1 million, respectively.</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Accumulated Other Comprehensive Loss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presents changes in the balances of each component of accumulated other comprehensive loss for the year ended</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December 31, 2012 (in thousands):</w:t>
      </w:r>
    </w:p>
    <w:p>
      <w:pPr>
        <w:spacing w:after="0" w:line="373" w:lineRule="exact"/>
        <w:rPr>
          <w:sz w:val="20"/>
          <w:szCs w:val="20"/>
          <w:color w:val="auto"/>
        </w:rPr>
      </w:pPr>
    </w:p>
    <w:tbl>
      <w:tblPr>
        <w:tblLayout w:type="fixed"/>
        <w:tblInd w:w="158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Loss on Settlement</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Fair Value of</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Accumulated Other</w:t>
            </w:r>
          </w:p>
        </w:tc>
      </w:tr>
      <w:tr>
        <w:trPr>
          <w:trHeight w:val="203"/>
        </w:trPr>
        <w:tc>
          <w:tcPr>
            <w:tcW w:w="4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of Derivative</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Derivative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r>
      <w:tr>
        <w:trPr>
          <w:trHeight w:val="210"/>
        </w:trPr>
        <w:tc>
          <w:tcPr>
            <w:tcW w:w="4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Instruments</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Instruments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Income (Loss)</w:t>
            </w:r>
          </w:p>
        </w:tc>
      </w:tr>
      <w:tr>
        <w:trPr>
          <w:trHeight w:val="33"/>
        </w:trPr>
        <w:tc>
          <w:tcPr>
            <w:tcW w:w="40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(71,429)</w:t>
            </w:r>
          </w:p>
        </w:tc>
      </w:tr>
      <w:tr>
        <w:trPr>
          <w:trHeight w:val="223"/>
        </w:trPr>
        <w:tc>
          <w:tcPr>
            <w:tcW w:w="4000" w:type="dxa"/>
            <w:vAlign w:val="bottom"/>
          </w:tcPr>
          <w:p>
            <w:pPr>
              <w:ind w:left="260"/>
              <w:spacing w:after="0"/>
              <w:rPr>
                <w:sz w:val="20"/>
                <w:szCs w:val="20"/>
                <w:color w:val="auto"/>
              </w:rPr>
            </w:pPr>
            <w:r>
              <w:rPr>
                <w:rFonts w:ascii="Arial" w:cs="Arial" w:eastAsia="Arial" w:hAnsi="Arial"/>
                <w:sz w:val="18"/>
                <w:szCs w:val="18"/>
                <w:color w:val="auto"/>
              </w:rPr>
              <w:t>Net gain on cash flow derivative instruments</w:t>
            </w:r>
          </w:p>
        </w:tc>
        <w:tc>
          <w:tcPr>
            <w:tcW w:w="620" w:type="dxa"/>
            <w:vAlign w:val="bottom"/>
          </w:tcPr>
          <w:p>
            <w:pPr>
              <w:spacing w:after="0"/>
              <w:rPr>
                <w:sz w:val="19"/>
                <w:szCs w:val="19"/>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4,255</w:t>
            </w:r>
          </w:p>
        </w:tc>
      </w:tr>
      <w:tr>
        <w:trPr>
          <w:trHeight w:val="27"/>
        </w:trPr>
        <w:tc>
          <w:tcPr>
            <w:tcW w:w="4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reclassified from accumulated other</w:t>
            </w:r>
          </w:p>
        </w:tc>
        <w:tc>
          <w:tcPr>
            <w:tcW w:w="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comprehensive income</w:t>
            </w:r>
          </w:p>
        </w:tc>
        <w:tc>
          <w:tcPr>
            <w:tcW w:w="6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9,459</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620" w:type="dxa"/>
            <w:vAlign w:val="bottom"/>
          </w:tcPr>
          <w:p>
            <w:pPr>
              <w:spacing w:after="0"/>
              <w:rPr>
                <w:sz w:val="19"/>
                <w:szCs w:val="19"/>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9,447</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4,267</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13,714</w:t>
            </w:r>
          </w:p>
        </w:tc>
      </w:tr>
      <w:tr>
        <w:trPr>
          <w:trHeight w:val="27"/>
        </w:trPr>
        <w:tc>
          <w:tcPr>
            <w:tcW w:w="40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(57,715)</w:t>
            </w:r>
          </w:p>
        </w:tc>
      </w:tr>
      <w:tr>
        <w:trPr>
          <w:trHeight w:val="20"/>
        </w:trPr>
        <w:tc>
          <w:tcPr>
            <w:tcW w:w="4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Stock-Based Compensation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recorded stock-based compensation in general and administrative expenses in the accompanying Consolidated Statements of</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the components of which are further described below for the years ended December 31, 2012, 2011, and 2010 (in thousands):</w:t>
      </w:r>
    </w:p>
    <w:p>
      <w:pPr>
        <w:spacing w:after="0" w:line="390"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33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Directors' fees paid in common stock</w:t>
            </w:r>
          </w:p>
        </w:tc>
        <w:tc>
          <w:tcPr>
            <w:tcW w:w="14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Amount capitalized</w:t>
            </w:r>
          </w:p>
        </w:tc>
        <w:tc>
          <w:tcPr>
            <w:tcW w:w="1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57"/>
        </w:trPr>
        <w:tc>
          <w:tcPr>
            <w:tcW w:w="3340" w:type="dxa"/>
            <w:vAlign w:val="bottom"/>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9,806</w:t>
            </w:r>
          </w:p>
        </w:tc>
        <w:tc>
          <w:tcPr>
            <w:tcW w:w="24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9,824</w:t>
            </w:r>
          </w:p>
        </w:tc>
        <w:tc>
          <w:tcPr>
            <w:tcW w:w="24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60" w:type="dxa"/>
            <w:vAlign w:val="bottom"/>
            <w:vMerge w:val="restart"/>
          </w:tcPr>
          <w:p>
            <w:pPr>
              <w:jc w:val="right"/>
              <w:ind w:right="450"/>
              <w:spacing w:after="0"/>
              <w:rPr>
                <w:sz w:val="20"/>
                <w:szCs w:val="20"/>
                <w:color w:val="auto"/>
              </w:rPr>
            </w:pPr>
            <w:r>
              <w:rPr>
                <w:rFonts w:ascii="Arial" w:cs="Arial" w:eastAsia="Arial" w:hAnsi="Arial"/>
                <w:sz w:val="18"/>
                <w:szCs w:val="18"/>
                <w:color w:val="auto"/>
              </w:rPr>
              <w:t>107</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114" w:name="page115"/>
    <w:bookmarkEnd w:id="114"/>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recorded amounts of stock-based compensation expense represent amortization of the grant date fair value of restricted stock awards over the respective vesting periods. Compensation expense specifically identifiable to development and leasing activities is capitalized and included above.</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established the Plan under which the Board of Directors may grant stock options and other stock-based awards to officers, directors, and other key employees. The Plan allows the Company to issue up to approximately 4.1 million shares in the form of the Parent Company's common stock or stock options. At December 31, 2012, there were approximately 3.1 million shares available for grant under the Plan either through options or restricted stock.</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Stock options are granted under the Plan with an exercise price equal to the Parent Company's stock's price at the date of grant. All stock options granted have ten-year lives, contain vesting terms of one to five years from the date of grant and some have dividend equivalent rights.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fair value of each option award is estimated on the date of grant using the Black-Scholes-Merton closed-form (“Black-Scholes”) option valuation model. The Company believes that the use of the Black-Scholes model meets the fair value measurement objectives of FASB ASC Topic 718 and reflects all substantive characteristics of the instruments being valued.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reports stock option activity during the year ended December 31, 2012:</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280" w:type="dxa"/>
            <w:vAlign w:val="bottom"/>
          </w:tcPr>
          <w:p>
            <w:pPr>
              <w:jc w:val="right"/>
              <w:ind w:right="314"/>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2011</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386,149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Less: Exercised</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7,619</w:t>
            </w:r>
          </w:p>
        </w:tc>
        <w:tc>
          <w:tcPr>
            <w:tcW w:w="18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Forfeited</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57,952</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Less: Expired</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4,654</w:t>
            </w:r>
          </w:p>
        </w:tc>
        <w:tc>
          <w:tcPr>
            <w:tcW w:w="18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2012</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315,924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52.39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Vested and expected to vest - December 31, 2012</w:t>
            </w: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80" w:type="dxa"/>
            <w:vAlign w:val="bottom"/>
            <w:tcBorders>
              <w:bottom w:val="single" w:sz="8" w:color="CCEEFF"/>
            </w:tcBorders>
            <w:vMerge w:val="continue"/>
          </w:tcPr>
          <w:p>
            <w:pPr>
              <w:spacing w:after="0"/>
              <w:rPr>
                <w:sz w:val="24"/>
                <w:szCs w:val="24"/>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315,924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52.39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51"/>
        </w:trPr>
        <w:tc>
          <w:tcPr>
            <w:tcW w:w="41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December 31, 2012</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315,924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were no stock options granted during 2012, 2011, or 2010. The total intrinsic value of options exercised during the years ended December 31, 2012, 2011, and 2010 was approximately $92,000, $130,000, and $1,000, respectively. The Company issues new shares to fulfill option exercises from its authorized shares available.</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grants restricted stock under the Plan to its employees as a form of long-term compensation and retention. The terms of each grant vary depending upon the participant's responsibilities and position within the Company. The Company's stock grants can be categorized as either time-based awards, performance-based awards, or market-based awards. All awards were valued at the fair market value, earn dividends throughout the vesting period, and have no voting rights. Fair value is measured using the grant date market price for all time-based or performance-based awards. Market based awards are valued using a Monte Carlo simulation to estimate the fair value based on the probability of satisfying the market conditions and the projected stock price at the time of payout, discounted to the valuation date over the three year performance period. Assumptions include historic volatility over the previous three year period, risk-free interest rates, and Regency's historic daily return as compared to the market index. Because the award payout includes dividend equivalents and the total shareholder return includes the value of dividends, no dividend yield assumption is required for the valuation. Compensation expense is measured at the grant date and recognized over the vesting period.</w:t>
      </w:r>
    </w:p>
    <w:p>
      <w:pPr>
        <w:spacing w:after="0" w:line="167" w:lineRule="exact"/>
        <w:rPr>
          <w:sz w:val="20"/>
          <w:szCs w:val="20"/>
          <w:color w:val="auto"/>
        </w:rPr>
      </w:pPr>
    </w:p>
    <w:p>
      <w:pPr>
        <w:ind w:left="640" w:hanging="320"/>
        <w:spacing w:after="0" w:line="312"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Time-based awards vest 25% per year beginning on the first anniversary following the grant date. These grants are subject only to continued employment and not dependent on future performance measures; and accordingly, if such vesting criteria are not met, compensation cost previously recognized would be reversed. During 2012, the Company granted 112,496 shares of time-based awards.</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760"/>
          </w:cols>
          <w:pgMar w:left="900" w:top="121" w:right="239" w:bottom="1440" w:gutter="0" w:footer="0" w:header="0"/>
        </w:sectPr>
      </w:pPr>
    </w:p>
    <w:bookmarkStart w:id="115" w:name="page116"/>
    <w:bookmarkEnd w:id="115"/>
    <w:p>
      <w:pPr>
        <w:jc w:val="center"/>
        <w:ind w:right="6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right="140" w:hanging="320"/>
        <w:spacing w:after="0" w:line="255"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Performance-based awards are earned subject to future performance measurements, including individual goals, annual growth in earnings, and compounded three-year growth in earnings. Once the performance criteria are achieved and the actual number of shares earned is determined, shares will vest over a required service period. If such performance criteria are not met, compensation cost previously recognized would be reversed. The Company considers the likelihood of meeting the performance criteria based upon management's estimates from which it determines the amounts recognized as expense on a periodic basis. During 2012, the Company granted 25,435 shares of performance-based awards.</w:t>
      </w:r>
    </w:p>
    <w:p>
      <w:pPr>
        <w:spacing w:after="0" w:line="193" w:lineRule="exact"/>
        <w:rPr>
          <w:rFonts w:ascii="Arial" w:cs="Arial" w:eastAsia="Arial" w:hAnsi="Arial"/>
          <w:sz w:val="18"/>
          <w:szCs w:val="18"/>
          <w:color w:val="auto"/>
        </w:rPr>
      </w:pPr>
    </w:p>
    <w:p>
      <w:pPr>
        <w:ind w:left="640" w:hanging="320"/>
        <w:spacing w:after="0" w:line="291" w:lineRule="auto"/>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Market-based awards are earned dependent upon the Company's total shareholder return in relation to the shareholder return of peer indices over a three-year period (“TSR Grant”). Once the market criteria are met and the actual number of shares earned is determined, 100% of the earned shares vest. The probability of meeting the market criteria is considered when calculating the estimated fair market value on the date of grant using a Monte Carlo simulation. These awards were accounted for as awards with market criteria, with compensation cost recognized over the service period, regardless of whether the market criteria are achieved and the awards are ultimately earned and vest. During 2012, the Company granted 128,302 shares of market-based awards. The significant assumptions underlying determination of fair values for market-based awards granted during the years ended December 31, 2012, 2011, and 2010 were</w:t>
      </w:r>
    </w:p>
    <w:p>
      <w:pPr>
        <w:spacing w:after="0" w:line="334"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3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2010</w:t>
            </w: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reports non-vested restricted stock activity during the year ended December 31, 2012:</w:t>
      </w:r>
    </w:p>
    <w:p>
      <w:pPr>
        <w:spacing w:after="0" w:line="15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Intrinsic</w:t>
            </w: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2011</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562,259</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Add: Time-based awards granted</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112,496</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40.05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Performance-based awards granted</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25,435</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39.00</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Add: Market-based awards granted</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128,302</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39.00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Vested and Distributed</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152,019</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43.13</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Less: Forfeited</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1,982</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40.34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2012</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674,491</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31,782</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weighted-average grant price for restricted stock granted during the years ended December 31, 2012, 2011, and 2010 was $39.44, $41.81, and $35.65, respectively. The total intrinsic value of restricted stock vested during the years ended December 31, 2012, 2011, and 2010 was $6.6 million, $7.5 million, and $6.1 million, respectively.</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2012, there was $12.8 million of unrecognized compensation cost related to non-vested restricted stock granted under the Parent Company's Long-Term Omnibus Plan. When recognized, this compensation results in additional paid in capital in the accompanying Consolidated Statements of Equity of the Parent Company and in general partner preferred and common units in the accompanying Consolidated Statements of Capital of the Operating Partnership. This unrecognized compensation cost is expected to be recognized over the next three years, through 2015. The Company issues new restricted stock from its authorized shares available at the date of grant.</w:t>
      </w:r>
    </w:p>
    <w:p>
      <w:pPr>
        <w:spacing w:after="0" w:line="2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740"/>
          </w:cols>
          <w:pgMar w:left="900" w:top="121" w:right="259" w:bottom="1440" w:gutter="0" w:footer="0" w:header="0"/>
        </w:sectPr>
      </w:pPr>
    </w:p>
    <w:bookmarkStart w:id="116" w:name="page117"/>
    <w:bookmarkEnd w:id="116"/>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52" w:right="8900" w:hanging="652"/>
        <w:spacing w:after="0" w:line="563" w:lineRule="auto"/>
        <w:tabs>
          <w:tab w:leader="none" w:pos="40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Saving and Retirement Plans </w:t>
      </w:r>
      <w:r>
        <w:rPr>
          <w:rFonts w:ascii="Arial" w:cs="Arial" w:eastAsia="Arial" w:hAnsi="Arial"/>
          <w:sz w:val="16"/>
          <w:szCs w:val="16"/>
          <w:i w:val="1"/>
          <w:iCs w:val="1"/>
          <w:color w:val="auto"/>
        </w:rPr>
        <w:t>401 (k) Retirement Plan</w:t>
      </w:r>
    </w:p>
    <w:p>
      <w:pPr>
        <w:spacing w:after="0" w:line="1"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The Company maintains a 401(k) retirement plan covering substantially all employees, which permits participants to defer up to the maximum allowable amount determined by the IRS of their eligible compensation. This deferred compensation, together with Company matching contributions equal to 100% of employee deferrals up to a maximum of $5,000 of their eligible compensation, is fully vested and funded as of December 31, 2012. Costs related to matching portion of the plan were $1.4 million, $1.2 million, and $1.1 million for the years ended December 31, 2012, 2011, and 2010, respectively.</w:t>
      </w:r>
    </w:p>
    <w:p>
      <w:pPr>
        <w:spacing w:after="0" w:line="188"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225" w:lineRule="exact"/>
        <w:rPr>
          <w:sz w:val="20"/>
          <w:szCs w:val="20"/>
          <w:color w:val="auto"/>
        </w:rPr>
      </w:pPr>
    </w:p>
    <w:p>
      <w:pPr>
        <w:ind w:left="652" w:right="60"/>
        <w:spacing w:after="0" w:line="259" w:lineRule="auto"/>
        <w:rPr>
          <w:sz w:val="20"/>
          <w:szCs w:val="20"/>
          <w:color w:val="auto"/>
        </w:rPr>
      </w:pPr>
      <w:r>
        <w:rPr>
          <w:rFonts w:ascii="Arial" w:cs="Arial" w:eastAsia="Arial" w:hAnsi="Arial"/>
          <w:sz w:val="18"/>
          <w:szCs w:val="18"/>
          <w:color w:val="auto"/>
        </w:rPr>
        <w:t>The Company maintains a non-qualified deferred compensation plan (“NQDCP”) which allows select employees and directors to defer part or all of their salary, cash bonus, and restricted stock awards. Restricted stock awards that are designated to be deferred into the NQDCP upon vesting are classified as liabilities from the grant date through the vesting date. All contributions into the participants' accounts are fully vested upon contribution to the NQDCP and are deposited in a Rabbi trust.</w:t>
      </w:r>
    </w:p>
    <w:p>
      <w:pPr>
        <w:spacing w:after="0" w:line="187" w:lineRule="exact"/>
        <w:rPr>
          <w:sz w:val="20"/>
          <w:szCs w:val="20"/>
          <w:color w:val="auto"/>
        </w:rPr>
      </w:pPr>
    </w:p>
    <w:p>
      <w:pPr>
        <w:ind w:left="652" w:right="20"/>
        <w:spacing w:after="0" w:line="285" w:lineRule="auto"/>
        <w:rPr>
          <w:sz w:val="20"/>
          <w:szCs w:val="20"/>
          <w:color w:val="auto"/>
        </w:rPr>
      </w:pPr>
      <w:r>
        <w:rPr>
          <w:rFonts w:ascii="Arial" w:cs="Arial" w:eastAsia="Arial" w:hAnsi="Arial"/>
          <w:sz w:val="16"/>
          <w:szCs w:val="16"/>
          <w:color w:val="auto"/>
        </w:rPr>
        <w:t>The Company accounts for the NQDCP in accordance with FASB Accounting Standards Codification ASC Topic 710 and the restricted stock awards under Topic 718. The assets in the Rabbi trust remain subject to the claims of creditors of the Company and are not the property of the participant. The NQDCP allows participants to allocate their account balance among various investments, including several mutual funds and the Company's common stock. Effective June 20, 2011, the Company amended its NQDCP such that participant account balances held in the Regency common stock fund, including future deferrals of Regency common stock, must remain allocated to the Regency common stock fund and may only be distributed to the participant in the form of Regency common stock upon termination from the plan. Additionally, participant account balances allocated to various diversified mutual funds are prohibited from being allocated into the Regency common stock fund. The assets of the Rabbi trust, exclusive of the shares of the Company's common stock, are classified as trading securities on the accompanying Consolidated Balance Sheets, and accordingly, realized and unrealized gains and losses are recognized within income from deferred compensation plan in the accompanying Consolidated Statements of Operations. Investments in shares of the Company's common stock are included, at cost, as treasury stock in the accompanying Consolidated Balance Sheets of the Parent Company and as a reduction of general partner capital in the accompanying Consolidated Balance Sheets of the Operating Partnership. The participants' deferred compensation liability, exclusive of the shares of the Company's common stock after the June 20, 2011 amendment, is included within accounts payable and other liabilities in the accompanying Consolidated Balance Sheets and was $22.8 million and $21.1 million at December 31, 2012 and 2011, respectively. Increases or decreases in the deferred compensation liability, exclusive of amounts attributable to participant investments in the shares of the Company's common stock, are recorded as general and administrative expense within the accompanying Consolidated Statements of Operations. Changes in participant account balances related to the Regency common stock fund are recorded directly within stockholders' equity.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92"/>
          </w:cols>
          <w:pgMar w:left="248" w:top="121" w:right="259" w:bottom="1440" w:gutter="0" w:footer="0" w:header="0"/>
        </w:sectPr>
      </w:pPr>
    </w:p>
    <w:bookmarkStart w:id="117" w:name="page118"/>
    <w:bookmarkEnd w:id="117"/>
    <w:p>
      <w:pPr>
        <w:jc w:val="center"/>
        <w:ind w:left="300" w:right="27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Earnings per Share and Unit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Parent Company Earnings per Share</w:t>
      </w:r>
    </w:p>
    <w:p>
      <w:pPr>
        <w:spacing w:after="0" w:line="171"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The following summarizes the calculation of basic and diluted earnings per share for the years ended December 31, 2012, 2011, and 2010, respectively (in thousands except per share data):</w:t>
      </w:r>
    </w:p>
    <w:p>
      <w:pPr>
        <w:spacing w:after="0" w:line="176"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9"/>
        </w:trPr>
        <w:tc>
          <w:tcPr>
            <w:tcW w:w="4940" w:type="dxa"/>
            <w:vAlign w:val="bottom"/>
            <w:gridSpan w:val="6"/>
            <w:shd w:val="clear" w:color="auto" w:fill="CCEEFF"/>
          </w:tcPr>
          <w:p>
            <w:pPr>
              <w:ind w:left="20"/>
              <w:spacing w:after="0" w:line="189" w:lineRule="exact"/>
              <w:rPr>
                <w:sz w:val="20"/>
                <w:szCs w:val="20"/>
                <w:color w:val="auto"/>
              </w:rPr>
            </w:pPr>
            <w:r>
              <w:rPr>
                <w:rFonts w:ascii="Arial" w:cs="Arial" w:eastAsia="Arial" w:hAnsi="Arial"/>
                <w:sz w:val="18"/>
                <w:szCs w:val="18"/>
                <w:color w:val="auto"/>
              </w:rPr>
              <w:t>Numerator:</w:t>
            </w: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45,344</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8,902</w:t>
            </w:r>
          </w:p>
        </w:tc>
        <w:tc>
          <w:tcPr>
            <w:tcW w:w="0" w:type="dxa"/>
            <w:vAlign w:val="bottom"/>
          </w:tcPr>
          <w:p>
            <w:pPr>
              <w:spacing w:after="0"/>
              <w:rPr>
                <w:sz w:val="1"/>
                <w:szCs w:val="1"/>
                <w:color w:val="auto"/>
              </w:rPr>
            </w:pPr>
          </w:p>
        </w:tc>
      </w:tr>
      <w:tr>
        <w:trPr>
          <w:trHeight w:val="243"/>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Gain on sale of real estate</w:t>
            </w:r>
          </w:p>
        </w:tc>
        <w:tc>
          <w:tcPr>
            <w:tcW w:w="5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26,209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43"/>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Less: preferred stock dividends</w:t>
            </w:r>
          </w:p>
        </w:tc>
        <w:tc>
          <w:tcPr>
            <w:tcW w:w="5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32,531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19,675</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Less: income attributable to noncontrolling interests</w:t>
            </w: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37"/>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5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31,695</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Less: dividends paid on unvested restricted stock</w:t>
            </w: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7"/>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Net income attributable to common stockholders - basic</w:t>
            </w:r>
          </w:p>
        </w:tc>
        <w:tc>
          <w:tcPr>
            <w:tcW w:w="5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Add: dividends paid on Treasury Method restricted stock</w:t>
            </w:r>
          </w:p>
        </w:tc>
        <w:tc>
          <w:tcPr>
            <w:tcW w:w="5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Net (loss) income for common stockholders - diluted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31,098</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Denominator:</w:t>
            </w:r>
          </w:p>
        </w:tc>
        <w:tc>
          <w:tcPr>
            <w:tcW w:w="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92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w w:val="99"/>
              </w:rPr>
              <w:t>Weighted average common shares outstanding for basic EPS</w:t>
            </w:r>
          </w:p>
        </w:tc>
        <w:tc>
          <w:tcPr>
            <w:tcW w:w="52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89,630</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87,825</w:t>
            </w:r>
          </w:p>
        </w:tc>
        <w:tc>
          <w:tcPr>
            <w:tcW w:w="12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81,068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w w:val="96"/>
              </w:rPr>
              <w:t>Incremental shares to be issued under unvested restricted stock</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Incremental shares under Forward Equity Offering</w:t>
            </w:r>
          </w:p>
        </w:tc>
        <w:tc>
          <w:tcPr>
            <w:tcW w:w="5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w w:val="97"/>
              </w:rPr>
              <w:t>Weighted average common shares outstanding for diluted EPS</w:t>
            </w:r>
          </w:p>
        </w:tc>
        <w:tc>
          <w:tcPr>
            <w:tcW w:w="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89,669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88,249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82,602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gridSpan w:val="6"/>
            <w:vMerge w:val="restart"/>
          </w:tcPr>
          <w:p>
            <w:pPr>
              <w:ind w:left="20"/>
              <w:spacing w:after="0" w:line="196" w:lineRule="exact"/>
              <w:rPr>
                <w:sz w:val="20"/>
                <w:szCs w:val="20"/>
                <w:color w:val="auto"/>
              </w:rPr>
            </w:pPr>
            <w:r>
              <w:rPr>
                <w:rFonts w:ascii="Arial" w:cs="Arial" w:eastAsia="Arial" w:hAnsi="Arial"/>
                <w:sz w:val="18"/>
                <w:szCs w:val="18"/>
                <w:color w:val="auto"/>
              </w:rPr>
              <w:t>(Loss) income per common share – basic</w:t>
            </w:r>
          </w:p>
        </w:tc>
        <w:tc>
          <w:tcPr>
            <w:tcW w:w="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gridSpan w:val="6"/>
            <w:vMerge w:val="continue"/>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9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Discontinued operations</w:t>
            </w:r>
          </w:p>
        </w:tc>
        <w:tc>
          <w:tcPr>
            <w:tcW w:w="5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940" w:type="dxa"/>
            <w:vAlign w:val="bottom"/>
            <w:gridSpan w:val="6"/>
            <w:vMerge w:val="restart"/>
          </w:tcPr>
          <w:p>
            <w:pPr>
              <w:ind w:left="20"/>
              <w:spacing w:after="0" w:line="202" w:lineRule="exact"/>
              <w:rPr>
                <w:sz w:val="20"/>
                <w:szCs w:val="20"/>
                <w:color w:val="auto"/>
              </w:rPr>
            </w:pPr>
            <w:r>
              <w:rPr>
                <w:rFonts w:ascii="Arial" w:cs="Arial" w:eastAsia="Arial" w:hAnsi="Arial"/>
                <w:sz w:val="18"/>
                <w:szCs w:val="18"/>
                <w:color w:val="auto"/>
              </w:rPr>
              <w:t>(Loss) income per common share – diluted</w:t>
            </w:r>
          </w:p>
        </w:tc>
        <w:tc>
          <w:tcPr>
            <w:tcW w:w="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4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9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4940" w:type="dxa"/>
            <w:vAlign w:val="bottom"/>
            <w:gridSpan w:val="6"/>
          </w:tcPr>
          <w:p>
            <w:pPr>
              <w:ind w:left="20"/>
              <w:spacing w:after="0"/>
              <w:rPr>
                <w:sz w:val="20"/>
                <w:szCs w:val="20"/>
                <w:color w:val="auto"/>
              </w:rPr>
            </w:pPr>
            <w:r>
              <w:rPr>
                <w:rFonts w:ascii="Arial" w:cs="Arial" w:eastAsia="Arial" w:hAnsi="Arial"/>
                <w:sz w:val="18"/>
                <w:szCs w:val="18"/>
                <w:color w:val="auto"/>
              </w:rPr>
              <w:t>Discontinued operations</w:t>
            </w:r>
          </w:p>
        </w:tc>
        <w:tc>
          <w:tcPr>
            <w:tcW w:w="5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Income (loss) allocated to noncontrolling interests of the Operating Partnership has been excluded from the numerator and Exchangeable Operating Partnership units have been omitted from the denominator for the purpose of computing diluted earnings per share since the effect of including these amounts in the numerator and denominator would have no impact. Weighted average Exchangeable Operating Partnership units outstanding for the years ended December 31, 2012, 2011, and 2010 were 177,164, 177,164, and 270,706,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121" w:right="299" w:bottom="1440" w:gutter="0" w:footer="0" w:header="0"/>
        </w:sectPr>
      </w:pPr>
    </w:p>
    <w:bookmarkStart w:id="118" w:name="page119"/>
    <w:bookmarkEnd w:id="118"/>
    <w:p>
      <w:pPr>
        <w:jc w:val="center"/>
        <w:ind w:left="960" w:right="20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Earnings per Unit</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summarizes the calculation of basic and diluted earnings per unit for the periods ended December 31, 2012, 2011, and 2010 respectively (in thousands except per unit data):</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49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Numerator:</w:t>
            </w: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45,344</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5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26,209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Less: preferred unit distributions</w:t>
            </w:r>
          </w:p>
        </w:tc>
        <w:tc>
          <w:tcPr>
            <w:tcW w:w="5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31,902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Less: income attributable to noncontrolling interests</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Net (loss) income attributable to common unit holders</w:t>
            </w:r>
          </w:p>
        </w:tc>
        <w:tc>
          <w:tcPr>
            <w:tcW w:w="54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31,798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Less: dividends paid on unvested restricted stock</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Net income attributable to common unit holders - basic</w:t>
            </w:r>
          </w:p>
        </w:tc>
        <w:tc>
          <w:tcPr>
            <w:tcW w:w="54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Add: dividends paid on Treasury Method restricted stock</w:t>
            </w:r>
          </w:p>
        </w:tc>
        <w:tc>
          <w:tcPr>
            <w:tcW w:w="5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Net income for common unit holders - diluted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0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w w:val="90"/>
              </w:rPr>
              <w:t>Denominator:</w:t>
            </w:r>
          </w:p>
        </w:tc>
        <w:tc>
          <w:tcPr>
            <w:tcW w:w="3920" w:type="dxa"/>
            <w:vAlign w:val="bottom"/>
            <w:gridSpan w:val="3"/>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39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Weighted average common units outstanding for basic EPU</w:t>
            </w:r>
          </w:p>
        </w:tc>
        <w:tc>
          <w:tcPr>
            <w:tcW w:w="54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89,808</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88,002</w:t>
            </w:r>
          </w:p>
        </w:tc>
        <w:tc>
          <w:tcPr>
            <w:tcW w:w="10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81,339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6"/>
              </w:rPr>
              <w:t>Incremental shares to be issued under unvested restricted stock</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Incremental units under Forward Equity Offering</w:t>
            </w:r>
          </w:p>
        </w:tc>
        <w:tc>
          <w:tcPr>
            <w:tcW w:w="5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Weighted average common units outstanding for diluted EPU</w:t>
            </w:r>
          </w:p>
        </w:tc>
        <w:tc>
          <w:tcPr>
            <w:tcW w:w="5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89,847</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88,426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82,873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920" w:type="dxa"/>
            <w:vAlign w:val="bottom"/>
            <w:tcBorders>
              <w:top w:val="single" w:sz="8" w:color="CCEEFF"/>
              <w:bottom w:val="single" w:sz="8" w:color="CCEEFF"/>
            </w:tcBorders>
            <w:gridSpan w:val="5"/>
            <w:vMerge w:val="restart"/>
          </w:tcPr>
          <w:p>
            <w:pPr>
              <w:spacing w:after="0" w:line="196" w:lineRule="exact"/>
              <w:rPr>
                <w:sz w:val="20"/>
                <w:szCs w:val="20"/>
                <w:color w:val="auto"/>
              </w:rPr>
            </w:pPr>
            <w:r>
              <w:rPr>
                <w:rFonts w:ascii="Arial" w:cs="Arial" w:eastAsia="Arial" w:hAnsi="Arial"/>
                <w:sz w:val="18"/>
                <w:szCs w:val="18"/>
                <w:color w:val="auto"/>
              </w:rPr>
              <w:t>(Loss) income per common unit – basic</w:t>
            </w: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vMerge w:val="continue"/>
          </w:tcPr>
          <w:p>
            <w:pPr>
              <w:spacing w:after="0"/>
              <w:rPr>
                <w:sz w:val="13"/>
                <w:szCs w:val="13"/>
                <w:color w:val="auto"/>
              </w:rPr>
            </w:pPr>
          </w:p>
        </w:tc>
        <w:tc>
          <w:tcPr>
            <w:tcW w:w="4920" w:type="dxa"/>
            <w:vAlign w:val="bottom"/>
            <w:gridSpan w:val="5"/>
            <w:vMerge w:val="continue"/>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(loss) income attributable to common unit holders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49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(Loss) income per common unit – diluted</w:t>
            </w:r>
          </w:p>
        </w:tc>
        <w:tc>
          <w:tcPr>
            <w:tcW w:w="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vMerge w:val="continue"/>
          </w:tcPr>
          <w:p>
            <w:pPr>
              <w:spacing w:after="0"/>
              <w:rPr>
                <w:sz w:val="14"/>
                <w:szCs w:val="14"/>
                <w:color w:val="auto"/>
              </w:rPr>
            </w:pPr>
          </w:p>
        </w:tc>
        <w:tc>
          <w:tcPr>
            <w:tcW w:w="492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(loss) income attributable to common unit holders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040"/>
          </w:cols>
          <w:pgMar w:left="900" w:top="121" w:right="959" w:bottom="1440" w:gutter="0" w:footer="0" w:header="0"/>
        </w:sectPr>
      </w:pPr>
    </w:p>
    <w:bookmarkStart w:id="119" w:name="page120"/>
    <w:bookmarkEnd w:id="119"/>
    <w:p>
      <w:pPr>
        <w:jc w:val="center"/>
        <w:ind w:left="280" w:right="27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Operating Leases</w:t>
      </w:r>
    </w:p>
    <w:p>
      <w:pPr>
        <w:spacing w:after="0" w:line="225" w:lineRule="exact"/>
        <w:rPr>
          <w:sz w:val="20"/>
          <w:szCs w:val="20"/>
          <w:color w:val="auto"/>
        </w:rPr>
      </w:pPr>
    </w:p>
    <w:p>
      <w:pPr>
        <w:jc w:val="both"/>
        <w:ind w:left="620" w:right="240" w:firstLine="648"/>
        <w:spacing w:after="0" w:line="264" w:lineRule="auto"/>
        <w:rPr>
          <w:sz w:val="20"/>
          <w:szCs w:val="20"/>
          <w:color w:val="auto"/>
        </w:rPr>
      </w:pPr>
      <w:r>
        <w:rPr>
          <w:rFonts w:ascii="Arial" w:cs="Arial" w:eastAsia="Arial" w:hAnsi="Arial"/>
          <w:sz w:val="18"/>
          <w:szCs w:val="18"/>
          <w:color w:val="auto"/>
        </w:rPr>
        <w:t>The Company's properties are leased to tenants under operating leases with expiration dates extending to the year 2099. Future minimum rents under non-cancelable operating leases as of December 31, 2012, excluding both tenant reimbursements of operating expenses and additional percentage rent based on tenants' sales volume, are as follows (in thousands):</w:t>
      </w:r>
    </w:p>
    <w:p>
      <w:pPr>
        <w:spacing w:after="0" w:line="123" w:lineRule="exact"/>
        <w:rPr>
          <w:sz w:val="20"/>
          <w:szCs w:val="20"/>
          <w:color w:val="auto"/>
        </w:rPr>
      </w:pPr>
    </w:p>
    <w:tbl>
      <w:tblPr>
        <w:tblLayout w:type="fixed"/>
        <w:tblInd w:w="4540" w:type="dxa"/>
        <w:tblCellMar>
          <w:top w:w="0" w:type="dxa"/>
          <w:left w:w="0" w:type="dxa"/>
          <w:bottom w:w="0" w:type="dxa"/>
          <w:right w:w="0" w:type="dxa"/>
        </w:tblCellMar>
      </w:tblPr>
      <w:tr>
        <w:trPr>
          <w:trHeight w:val="234"/>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Ending December 31,</w:t>
            </w:r>
          </w:p>
        </w:tc>
        <w:tc>
          <w:tcPr>
            <w:tcW w:w="2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r>
      <w:tr>
        <w:trPr>
          <w:trHeight w:val="27"/>
        </w:trPr>
        <w:tc>
          <w:tcPr>
            <w:tcW w:w="2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332,351</w:t>
            </w:r>
          </w:p>
        </w:tc>
      </w:tr>
      <w:tr>
        <w:trPr>
          <w:trHeight w:val="243"/>
        </w:trPr>
        <w:tc>
          <w:tcPr>
            <w:tcW w:w="24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311,905</w:t>
            </w:r>
          </w:p>
        </w:tc>
      </w:tr>
      <w:tr>
        <w:trPr>
          <w:trHeight w:val="27"/>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276,784</w:t>
            </w:r>
          </w:p>
        </w:tc>
      </w:tr>
      <w:tr>
        <w:trPr>
          <w:trHeight w:val="243"/>
        </w:trPr>
        <w:tc>
          <w:tcPr>
            <w:tcW w:w="24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240,376</w:t>
            </w:r>
          </w:p>
        </w:tc>
      </w:tr>
      <w:tr>
        <w:trPr>
          <w:trHeight w:val="27"/>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196,098</w:t>
            </w:r>
          </w:p>
        </w:tc>
      </w:tr>
      <w:tr>
        <w:trPr>
          <w:trHeight w:val="243"/>
        </w:trPr>
        <w:tc>
          <w:tcPr>
            <w:tcW w:w="240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991,272</w:t>
            </w:r>
          </w:p>
        </w:tc>
      </w:tr>
      <w:tr>
        <w:trPr>
          <w:trHeight w:val="27"/>
        </w:trPr>
        <w:tc>
          <w:tcPr>
            <w:tcW w:w="2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2,348,786</w:t>
            </w:r>
          </w:p>
        </w:tc>
      </w:tr>
      <w:tr>
        <w:trPr>
          <w:trHeight w:val="20"/>
        </w:trPr>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20" w:right="100" w:firstLine="648"/>
        <w:spacing w:after="0" w:line="264" w:lineRule="auto"/>
        <w:rPr>
          <w:sz w:val="20"/>
          <w:szCs w:val="20"/>
          <w:color w:val="auto"/>
        </w:rPr>
      </w:pPr>
      <w:r>
        <w:rPr>
          <w:rFonts w:ascii="Arial" w:cs="Arial" w:eastAsia="Arial" w:hAnsi="Arial"/>
          <w:sz w:val="18"/>
          <w:szCs w:val="18"/>
          <w:color w:val="auto"/>
        </w:rPr>
        <w:t>The shopping centers' tenant base includes primarily national and regional supermarkets, drug stores, discount department stores and other retailers and, consequently, the credit risk is concentrated in the retail industry. There were no tenants that individually represented more than 5% of the Company's annualized future minimum rents.</w:t>
      </w:r>
    </w:p>
    <w:p>
      <w:pPr>
        <w:spacing w:after="0" w:line="181" w:lineRule="exact"/>
        <w:rPr>
          <w:sz w:val="20"/>
          <w:szCs w:val="20"/>
          <w:color w:val="auto"/>
        </w:rPr>
      </w:pPr>
    </w:p>
    <w:p>
      <w:pPr>
        <w:ind w:left="620" w:firstLine="14"/>
        <w:spacing w:after="0" w:line="254" w:lineRule="auto"/>
        <w:rPr>
          <w:sz w:val="20"/>
          <w:szCs w:val="20"/>
          <w:color w:val="auto"/>
        </w:rPr>
      </w:pPr>
      <w:r>
        <w:rPr>
          <w:rFonts w:ascii="Arial" w:cs="Arial" w:eastAsia="Arial" w:hAnsi="Arial"/>
          <w:sz w:val="18"/>
          <w:szCs w:val="18"/>
          <w:color w:val="auto"/>
        </w:rPr>
        <w:t>The Company has shopping centers that are subject to non-cancelable long-term ground leases where a third party owns and has leased the underlying land to the Company to construct and/or operate a shopping center. Ground leases expire through the year 2058 and in most cases provide for renewal options. In addition, the Company has non-cancelable operating leases pertaining to office space from which it conducts its business. Office leases expire through the year 2018 and in most cases provide for renewal options. Leasehold improvements are capitalized, recorded as tenant improvements, and depreciated over the shorter of the useful life of the improvements or the lease term. Operating lease expense, including capitalized ground lease payments on properties in development, was $9.1 million, $9.2 million and $8.1 million for the years ended December 31, 2012, 2011, and 2010, respectively. The following table summarizes the future obligations under non-cancelable operating leases as of December 31, 2012, (in thousands):</w:t>
      </w:r>
    </w:p>
    <w:p>
      <w:pPr>
        <w:spacing w:after="0" w:line="350"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Ending December 31,</w:t>
            </w:r>
          </w:p>
        </w:tc>
        <w:tc>
          <w:tcPr>
            <w:tcW w:w="24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Amount</w:t>
            </w:r>
          </w:p>
        </w:tc>
      </w:tr>
      <w:tr>
        <w:trPr>
          <w:trHeight w:val="27"/>
        </w:trPr>
        <w:tc>
          <w:tcPr>
            <w:tcW w:w="2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r>
      <w:tr>
        <w:trPr>
          <w:trHeight w:val="243"/>
        </w:trPr>
        <w:tc>
          <w:tcPr>
            <w:tcW w:w="25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7,136</w:t>
            </w: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r>
      <w:tr>
        <w:trPr>
          <w:trHeight w:val="243"/>
        </w:trPr>
        <w:tc>
          <w:tcPr>
            <w:tcW w:w="25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6,181</w:t>
            </w: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r>
      <w:tr>
        <w:trPr>
          <w:trHeight w:val="243"/>
        </w:trPr>
        <w:tc>
          <w:tcPr>
            <w:tcW w:w="258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101,613</w:t>
            </w:r>
          </w:p>
        </w:tc>
      </w:tr>
      <w:tr>
        <w:trPr>
          <w:trHeight w:val="27"/>
        </w:trPr>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134,024</w:t>
            </w:r>
          </w:p>
        </w:tc>
      </w:tr>
      <w:tr>
        <w:trPr>
          <w:trHeight w:val="20"/>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Commitments and Contingencies</w:t>
      </w:r>
    </w:p>
    <w:p>
      <w:pPr>
        <w:spacing w:after="0" w:line="171"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Company is involved in litigation on a number of matters and is subject to certain claims which arise in the normal course of business, none of which, in the opinion of management, is expected to have a material adverse effect on the Company's consolidated financial position, results of operations, or liquidity. Legal fees are expensed as incurred.</w:t>
      </w:r>
    </w:p>
    <w:p>
      <w:pPr>
        <w:spacing w:after="0" w:line="127"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The Company is also subject to numerous environmental laws and regulations as they apply to real estate pertaining to chemicals used by the dry cleaning industry, the existence of asbestos in older shopping centers, and underground petroleum storage tanks. The Company believes that the ultimate disposition of currently known environmental matters will not have a material effect on its financial position, liquidity, or operations; however, it can give no assurance that existing environmental studies with respect to the shopping centers have revealed all potential environmental liabilities; that any previous owner, occupant or tenant did not create any material environmental condition not known to it; that the current environmental condition of the shopping centers will not be affected by tenants and occupants, by the condition of</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121" w:right="279" w:bottom="1440" w:gutter="0" w:footer="0" w:header="0"/>
        </w:sectPr>
      </w:pPr>
    </w:p>
    <w:bookmarkStart w:id="120" w:name="page121"/>
    <w:bookmarkEnd w:id="120"/>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nearby properties, or by unrelated third parties; or that changes in applicable environmental laws and regulations or their interpretation will not result in additional environmental liability to the Company.</w:t>
      </w:r>
    </w:p>
    <w:p>
      <w:pPr>
        <w:spacing w:after="0" w:line="116"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The Company has the right to issue letters of credit under the Line up to an amount not to exceed $80.0 million which reduces the credit availability under the Line. These letters of credit are primarily issued as collateral to facilitate the construction of development projects. As of December 31, 2012 and 2011, the Company had $20.8 million and $17.4 million letters of credit outstanding, respectively.</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Summary of Quarterly Financial Data (Unaudited)</w:t>
      </w:r>
    </w:p>
    <w:p>
      <w:pPr>
        <w:spacing w:after="0" w:line="225" w:lineRule="exact"/>
        <w:rPr>
          <w:sz w:val="20"/>
          <w:szCs w:val="20"/>
          <w:color w:val="auto"/>
        </w:rPr>
      </w:pPr>
    </w:p>
    <w:p>
      <w:pPr>
        <w:ind w:left="620" w:right="620" w:firstLine="648"/>
        <w:spacing w:after="0" w:line="264" w:lineRule="auto"/>
        <w:rPr>
          <w:sz w:val="20"/>
          <w:szCs w:val="20"/>
          <w:color w:val="auto"/>
        </w:rPr>
      </w:pPr>
      <w:r>
        <w:rPr>
          <w:rFonts w:ascii="Arial" w:cs="Arial" w:eastAsia="Arial" w:hAnsi="Arial"/>
          <w:sz w:val="18"/>
          <w:szCs w:val="18"/>
          <w:color w:val="auto"/>
        </w:rPr>
        <w:t>The following table sets forth selected Quarterly Financial Data for the Company on a historical basis for each of the years ended December 31, 2012 and 2011 and has been derived from the accompanying consolidated financial statements as reclassified for discontinued operations (in thousands except per share and per unit data):</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8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w w:val="99"/>
              </w:rPr>
              <w:t>Fourth</w:t>
            </w:r>
          </w:p>
        </w:tc>
      </w:tr>
      <w:tr>
        <w:trPr>
          <w:trHeight w:val="250"/>
        </w:trPr>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21"/>
                <w:szCs w:val="21"/>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21"/>
                <w:szCs w:val="21"/>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4"/>
              </w:rPr>
              <w:t>Quarter</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5"/>
              </w:rPr>
              <w:t>Operating Data:</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237"/>
        </w:trPr>
        <w:tc>
          <w:tcPr>
            <w:tcW w:w="5120" w:type="dxa"/>
            <w:vAlign w:val="bottom"/>
            <w:gridSpan w:val="5"/>
          </w:tcPr>
          <w:p>
            <w:pPr>
              <w:ind w:left="20"/>
              <w:spacing w:after="0"/>
              <w:rPr>
                <w:sz w:val="20"/>
                <w:szCs w:val="20"/>
                <w:color w:val="auto"/>
              </w:rPr>
            </w:pPr>
            <w:r>
              <w:rPr>
                <w:rFonts w:ascii="Arial" w:cs="Arial" w:eastAsia="Arial" w:hAnsi="Arial"/>
                <w:sz w:val="16"/>
                <w:szCs w:val="16"/>
                <w:color w:val="auto"/>
              </w:rPr>
              <w:t>Revenues as originally reported</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127,389</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129,767</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120,013</w:t>
            </w:r>
          </w:p>
        </w:tc>
        <w:tc>
          <w:tcPr>
            <w:tcW w:w="100" w:type="dxa"/>
            <w:vAlign w:val="bottom"/>
          </w:tcPr>
          <w:p>
            <w:pPr>
              <w:spacing w:after="0"/>
              <w:rPr>
                <w:sz w:val="20"/>
                <w:szCs w:val="20"/>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122,002</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Reclassified to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512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Adjusted Revenues</w:t>
            </w:r>
          </w:p>
        </w:tc>
        <w:tc>
          <w:tcPr>
            <w:tcW w:w="2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126,243</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129,243</w:t>
            </w:r>
          </w:p>
        </w:tc>
        <w:tc>
          <w:tcPr>
            <w:tcW w:w="10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119,432</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122,002</w:t>
            </w:r>
          </w:p>
        </w:tc>
      </w:tr>
      <w:tr>
        <w:trPr>
          <w:trHeight w:val="257"/>
        </w:trPr>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7"/>
        </w:trPr>
        <w:tc>
          <w:tcPr>
            <w:tcW w:w="5120" w:type="dxa"/>
            <w:vAlign w:val="bottom"/>
            <w:gridSpan w:val="5"/>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13,181</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5,697</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11,637</w:t>
            </w: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(37,179)</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Net income (loss) of limited partners</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84"/>
        </w:trPr>
        <w:tc>
          <w:tcPr>
            <w:tcW w:w="512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Net income (loss) attributable to common unit holders</w:t>
            </w:r>
          </w:p>
        </w:tc>
        <w:tc>
          <w:tcPr>
            <w:tcW w:w="2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13,235</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5,720</w:t>
            </w:r>
          </w:p>
        </w:tc>
        <w:tc>
          <w:tcPr>
            <w:tcW w:w="10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11,676</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(37,189)</w:t>
            </w:r>
          </w:p>
        </w:tc>
      </w:tr>
      <w:tr>
        <w:trPr>
          <w:trHeight w:val="257"/>
        </w:trPr>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7"/>
        </w:trPr>
        <w:tc>
          <w:tcPr>
            <w:tcW w:w="5680" w:type="dxa"/>
            <w:vAlign w:val="bottom"/>
            <w:gridSpan w:val="7"/>
          </w:tcPr>
          <w:p>
            <w:pPr>
              <w:ind w:left="20"/>
              <w:spacing w:after="0"/>
              <w:rPr>
                <w:sz w:val="20"/>
                <w:szCs w:val="20"/>
                <w:color w:val="auto"/>
              </w:rPr>
            </w:pPr>
            <w:r>
              <w:rPr>
                <w:rFonts w:ascii="Arial" w:cs="Arial" w:eastAsia="Arial" w:hAnsi="Arial"/>
                <w:sz w:val="16"/>
                <w:szCs w:val="16"/>
                <w:color w:val="auto"/>
                <w:w w:val="95"/>
              </w:rPr>
              <w:t>Net income (loss) attributable to common stock and unit holders per share and unit:</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(0.41)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77"/>
        </w:trPr>
        <w:tc>
          <w:tcPr>
            <w:tcW w:w="2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gridSpan w:val="4"/>
          </w:tcPr>
          <w:p>
            <w:pPr>
              <w:ind w:left="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(0.41)</w:t>
            </w:r>
          </w:p>
        </w:tc>
      </w:tr>
      <w:tr>
        <w:trPr>
          <w:trHeight w:val="257"/>
        </w:trPr>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0"/>
        </w:trPr>
        <w:tc>
          <w:tcPr>
            <w:tcW w:w="3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r>
      <w:tr>
        <w:trPr>
          <w:trHeight w:val="230"/>
        </w:trPr>
        <w:tc>
          <w:tcPr>
            <w:tcW w:w="5120" w:type="dxa"/>
            <w:vAlign w:val="bottom"/>
            <w:gridSpan w:val="5"/>
          </w:tcPr>
          <w:p>
            <w:pPr>
              <w:ind w:left="20"/>
              <w:spacing w:after="0"/>
              <w:rPr>
                <w:sz w:val="20"/>
                <w:szCs w:val="20"/>
                <w:color w:val="auto"/>
              </w:rPr>
            </w:pPr>
            <w:r>
              <w:rPr>
                <w:rFonts w:ascii="Arial" w:cs="Arial" w:eastAsia="Arial" w:hAnsi="Arial"/>
                <w:sz w:val="14"/>
                <w:szCs w:val="14"/>
                <w:b w:val="1"/>
                <w:bCs w:val="1"/>
                <w:color w:val="auto"/>
              </w:rPr>
              <w:t>Operating Data:</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Revenues as originally reported</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127,114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128,382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125,747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125,322</w:t>
            </w:r>
          </w:p>
        </w:tc>
      </w:tr>
      <w:tr>
        <w:trPr>
          <w:trHeight w:val="237"/>
        </w:trPr>
        <w:tc>
          <w:tcPr>
            <w:tcW w:w="5120" w:type="dxa"/>
            <w:vAlign w:val="bottom"/>
            <w:gridSpan w:val="5"/>
          </w:tcPr>
          <w:p>
            <w:pPr>
              <w:ind w:left="20"/>
              <w:spacing w:after="0"/>
              <w:rPr>
                <w:sz w:val="20"/>
                <w:szCs w:val="20"/>
                <w:color w:val="auto"/>
              </w:rPr>
            </w:pPr>
            <w:r>
              <w:rPr>
                <w:rFonts w:ascii="Arial" w:cs="Arial" w:eastAsia="Arial" w:hAnsi="Arial"/>
                <w:sz w:val="16"/>
                <w:szCs w:val="16"/>
                <w:color w:val="auto"/>
              </w:rPr>
              <w:t>Reclassified to discontinued operations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(4,069)</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(4,344)</w:t>
            </w: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(1,726)</w:t>
            </w:r>
          </w:p>
        </w:tc>
      </w:tr>
      <w:tr>
        <w:trPr>
          <w:trHeight w:val="3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Adjusted Revenues</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123,045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124,038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122,419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123,596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50"/>
        </w:trPr>
        <w:tc>
          <w:tcPr>
            <w:tcW w:w="51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12,861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8,510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8,139</w:t>
            </w:r>
          </w:p>
        </w:tc>
      </w:tr>
      <w:tr>
        <w:trPr>
          <w:trHeight w:val="237"/>
        </w:trPr>
        <w:tc>
          <w:tcPr>
            <w:tcW w:w="5120" w:type="dxa"/>
            <w:vAlign w:val="bottom"/>
            <w:gridSpan w:val="5"/>
          </w:tcPr>
          <w:p>
            <w:pPr>
              <w:ind w:left="20"/>
              <w:spacing w:after="0"/>
              <w:rPr>
                <w:sz w:val="20"/>
                <w:szCs w:val="20"/>
                <w:color w:val="auto"/>
              </w:rPr>
            </w:pPr>
            <w:r>
              <w:rPr>
                <w:rFonts w:ascii="Arial" w:cs="Arial" w:eastAsia="Arial" w:hAnsi="Arial"/>
                <w:sz w:val="16"/>
                <w:szCs w:val="16"/>
                <w:color w:val="auto"/>
              </w:rPr>
              <w:t>Net income of limited partners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unit holders</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12,898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8,537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8,165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0"/>
        </w:trPr>
        <w:tc>
          <w:tcPr>
            <w:tcW w:w="51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w w:val="93"/>
              </w:rPr>
              <w:t>Net income attributable to common stock and unit holders per share and unit:</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290"/>
        </w:trPr>
        <w:tc>
          <w:tcPr>
            <w:tcW w:w="2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gridSpan w:val="4"/>
          </w:tcPr>
          <w:p>
            <w:pPr>
              <w:ind w:left="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0.10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1"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REGENCY CENTERS CORPORATION AND 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 - Consolidated Real Estate and Accumulated Depreciation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4"/>
              </w:rPr>
              <w:t>Initial Cost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Total Cost</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Cost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Capitalized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Properties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Mortgages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Improvements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Acquisition </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Improvements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4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4S Commons Town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30,760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35,830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30,812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35,399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66,211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11,743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54,468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62,500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Airport Crossing</w:t>
            </w:r>
          </w:p>
        </w:tc>
        <w:tc>
          <w:tcPr>
            <w:tcW w:w="580" w:type="dxa"/>
            <w:vAlign w:val="bottom"/>
          </w:tcPr>
          <w:p>
            <w:pPr>
              <w:jc w:val="right"/>
              <w:spacing w:after="0"/>
              <w:rPr>
                <w:sz w:val="20"/>
                <w:szCs w:val="20"/>
                <w:color w:val="auto"/>
              </w:rPr>
            </w:pPr>
            <w:r>
              <w:rPr>
                <w:rFonts w:ascii="Arial" w:cs="Arial" w:eastAsia="Arial" w:hAnsi="Arial"/>
                <w:sz w:val="14"/>
                <w:szCs w:val="14"/>
                <w:color w:val="auto"/>
              </w:rPr>
              <w:t>1,748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1,690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1,780</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3,524</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3,098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Amerige Heights Town</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11,288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11,536</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21,645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19,815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17,000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Anastasia Plaza</w:t>
            </w:r>
          </w:p>
        </w:tc>
        <w:tc>
          <w:tcPr>
            <w:tcW w:w="580" w:type="dxa"/>
            <w:vAlign w:val="bottom"/>
          </w:tcPr>
          <w:p>
            <w:pPr>
              <w:jc w:val="right"/>
              <w:spacing w:after="0"/>
              <w:rPr>
                <w:sz w:val="20"/>
                <w:szCs w:val="20"/>
                <w:color w:val="auto"/>
              </w:rPr>
            </w:pPr>
            <w:r>
              <w:rPr>
                <w:rFonts w:ascii="Arial" w:cs="Arial" w:eastAsia="Arial" w:hAnsi="Arial"/>
                <w:sz w:val="14"/>
                <w:szCs w:val="14"/>
                <w:color w:val="auto"/>
              </w:rPr>
              <w:t>9,065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3,338</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5,847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9,185</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8,446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Anthem Marketplace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13,696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13,899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20,613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15,938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Ashburn Farm Market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9,835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4,812</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5,181</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15,016</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2,943</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12,073</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Ashford Perimeter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9,865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12,963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Augusta Center</w:t>
            </w:r>
          </w:p>
        </w:tc>
        <w:tc>
          <w:tcPr>
            <w:tcW w:w="580" w:type="dxa"/>
            <w:vAlign w:val="bottom"/>
          </w:tcPr>
          <w:p>
            <w:pPr>
              <w:jc w:val="right"/>
              <w:spacing w:after="0"/>
              <w:rPr>
                <w:sz w:val="20"/>
                <w:szCs w:val="20"/>
                <w:color w:val="auto"/>
              </w:rPr>
            </w:pPr>
            <w:r>
              <w:rPr>
                <w:rFonts w:ascii="Arial" w:cs="Arial" w:eastAsia="Arial" w:hAnsi="Arial"/>
                <w:sz w:val="14"/>
                <w:szCs w:val="14"/>
                <w:color w:val="auto"/>
              </w:rPr>
              <w:t>5,142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(5,456)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2,406</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2,409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Aventura Shopping</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10,459</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10,488</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13,239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Balboa Mesa Shopping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23,074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33,838</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23,074</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33,838</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56,912</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56,417</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Beckett Commons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10,960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13,407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15,155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Belleview Square</w:t>
            </w:r>
          </w:p>
        </w:tc>
        <w:tc>
          <w:tcPr>
            <w:tcW w:w="580" w:type="dxa"/>
            <w:vAlign w:val="bottom"/>
          </w:tcPr>
          <w:p>
            <w:pPr>
              <w:jc w:val="right"/>
              <w:spacing w:after="0"/>
              <w:rPr>
                <w:sz w:val="20"/>
                <w:szCs w:val="20"/>
                <w:color w:val="auto"/>
              </w:rPr>
            </w:pPr>
            <w:r>
              <w:rPr>
                <w:rFonts w:ascii="Arial" w:cs="Arial" w:eastAsia="Arial" w:hAnsi="Arial"/>
                <w:sz w:val="14"/>
                <w:szCs w:val="14"/>
                <w:color w:val="auto"/>
              </w:rPr>
              <w:t>8,132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9,756</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8,298</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11,555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19,853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4,188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15,665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Berkshire Commons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9,551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13,293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Bloomingdale Square</w:t>
            </w:r>
          </w:p>
        </w:tc>
        <w:tc>
          <w:tcPr>
            <w:tcW w:w="580" w:type="dxa"/>
            <w:vAlign w:val="bottom"/>
          </w:tcPr>
          <w:p>
            <w:pPr>
              <w:jc w:val="right"/>
              <w:spacing w:after="0"/>
              <w:rPr>
                <w:sz w:val="20"/>
                <w:szCs w:val="20"/>
                <w:color w:val="auto"/>
              </w:rPr>
            </w:pPr>
            <w:r>
              <w:rPr>
                <w:rFonts w:ascii="Arial" w:cs="Arial" w:eastAsia="Arial" w:hAnsi="Arial"/>
                <w:sz w:val="14"/>
                <w:szCs w:val="14"/>
                <w:color w:val="auto"/>
              </w:rPr>
              <w:t>3,940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14,912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15,783</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19,723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6,242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13,481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Boulevard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10,787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15,382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10,773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Boynton Lakes Plaza</w:t>
            </w:r>
          </w:p>
        </w:tc>
        <w:tc>
          <w:tcPr>
            <w:tcW w:w="580" w:type="dxa"/>
            <w:vAlign w:val="bottom"/>
          </w:tcPr>
          <w:p>
            <w:pPr>
              <w:jc w:val="right"/>
              <w:spacing w:after="0"/>
              <w:rPr>
                <w:sz w:val="20"/>
                <w:szCs w:val="20"/>
                <w:color w:val="auto"/>
              </w:rPr>
            </w:pPr>
            <w:r>
              <w:rPr>
                <w:rFonts w:ascii="Arial" w:cs="Arial" w:eastAsia="Arial" w:hAnsi="Arial"/>
                <w:sz w:val="14"/>
                <w:szCs w:val="14"/>
                <w:color w:val="auto"/>
              </w:rPr>
              <w:t>2,628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11,236</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3,436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3,464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13,836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17,300</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4,185</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13,115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Brentwood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3,473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Briarcliff La Vista</w:t>
            </w:r>
          </w:p>
        </w:tc>
        <w:tc>
          <w:tcPr>
            <w:tcW w:w="580" w:type="dxa"/>
            <w:vAlign w:val="bottom"/>
          </w:tcPr>
          <w:p>
            <w:pPr>
              <w:jc w:val="right"/>
              <w:spacing w:after="0"/>
              <w:rPr>
                <w:sz w:val="20"/>
                <w:szCs w:val="20"/>
                <w:color w:val="auto"/>
              </w:rPr>
            </w:pPr>
            <w:r>
              <w:rPr>
                <w:rFonts w:ascii="Arial" w:cs="Arial" w:eastAsia="Arial" w:hAnsi="Arial"/>
                <w:sz w:val="14"/>
                <w:szCs w:val="14"/>
                <w:color w:val="auto"/>
              </w:rPr>
              <w:t>694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3,292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3,446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4,140</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Briarcliff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24,836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25,905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30,502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13,223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17,279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Bridgeton</w:t>
            </w:r>
          </w:p>
        </w:tc>
        <w:tc>
          <w:tcPr>
            <w:tcW w:w="580" w:type="dxa"/>
            <w:vAlign w:val="bottom"/>
          </w:tcPr>
          <w:p>
            <w:pPr>
              <w:jc w:val="right"/>
              <w:spacing w:after="0"/>
              <w:rPr>
                <w:sz w:val="20"/>
                <w:szCs w:val="20"/>
                <w:color w:val="auto"/>
              </w:rPr>
            </w:pPr>
            <w:r>
              <w:rPr>
                <w:rFonts w:ascii="Arial" w:cs="Arial" w:eastAsia="Arial" w:hAnsi="Arial"/>
                <w:sz w:val="14"/>
                <w:szCs w:val="14"/>
                <w:color w:val="auto"/>
              </w:rPr>
              <w:t>3,033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8,137</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8,137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11,204</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10,658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Buckhead Court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7,432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Buckley Square</w:t>
            </w:r>
          </w:p>
        </w:tc>
        <w:tc>
          <w:tcPr>
            <w:tcW w:w="580" w:type="dxa"/>
            <w:vAlign w:val="bottom"/>
          </w:tcPr>
          <w:p>
            <w:pPr>
              <w:jc w:val="right"/>
              <w:spacing w:after="0"/>
              <w:rPr>
                <w:sz w:val="20"/>
                <w:szCs w:val="20"/>
                <w:color w:val="auto"/>
              </w:rPr>
            </w:pPr>
            <w:r>
              <w:rPr>
                <w:rFonts w:ascii="Arial" w:cs="Arial" w:eastAsia="Arial" w:hAnsi="Arial"/>
                <w:sz w:val="14"/>
                <w:szCs w:val="14"/>
                <w:color w:val="auto"/>
              </w:rPr>
              <w:t>2,970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5,978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2,970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6,561</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9,531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2,802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6,729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Buckwalter Place</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Shopping Ctr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6,590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Caligo Crossing</w:t>
            </w:r>
          </w:p>
        </w:tc>
        <w:tc>
          <w:tcPr>
            <w:tcW w:w="580" w:type="dxa"/>
            <w:vAlign w:val="bottom"/>
          </w:tcPr>
          <w:p>
            <w:pPr>
              <w:jc w:val="right"/>
              <w:spacing w:after="0"/>
              <w:rPr>
                <w:sz w:val="20"/>
                <w:szCs w:val="20"/>
                <w:color w:val="auto"/>
              </w:rPr>
            </w:pPr>
            <w:r>
              <w:rPr>
                <w:rFonts w:ascii="Arial" w:cs="Arial" w:eastAsia="Arial" w:hAnsi="Arial"/>
                <w:sz w:val="14"/>
                <w:szCs w:val="14"/>
                <w:color w:val="auto"/>
              </w:rPr>
              <w:t>2,459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2,459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5,338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7,797</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6,616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Cambridge Square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4,347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Carmel Commons</w:t>
            </w:r>
          </w:p>
        </w:tc>
        <w:tc>
          <w:tcPr>
            <w:tcW w:w="580" w:type="dxa"/>
            <w:vAlign w:val="bottom"/>
          </w:tcPr>
          <w:p>
            <w:pPr>
              <w:jc w:val="right"/>
              <w:spacing w:after="0"/>
              <w:rPr>
                <w:sz w:val="20"/>
                <w:szCs w:val="20"/>
                <w:color w:val="auto"/>
              </w:rPr>
            </w:pPr>
            <w:r>
              <w:rPr>
                <w:rFonts w:ascii="Arial" w:cs="Arial" w:eastAsia="Arial" w:hAnsi="Arial"/>
                <w:sz w:val="14"/>
                <w:szCs w:val="14"/>
                <w:color w:val="auto"/>
              </w:rPr>
              <w:t>2,466</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12,548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3,819</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3,406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15,426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18,832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13,281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Carriage Gate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4,974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Centerplace of Greeley III</w:t>
            </w:r>
          </w:p>
        </w:tc>
        <w:tc>
          <w:tcPr>
            <w:tcW w:w="580" w:type="dxa"/>
            <w:vAlign w:val="bottom"/>
          </w:tcPr>
          <w:p>
            <w:pPr>
              <w:jc w:val="right"/>
              <w:spacing w:after="0"/>
              <w:rPr>
                <w:sz w:val="20"/>
                <w:szCs w:val="20"/>
                <w:color w:val="auto"/>
              </w:rPr>
            </w:pPr>
            <w:r>
              <w:rPr>
                <w:rFonts w:ascii="Arial" w:cs="Arial" w:eastAsia="Arial" w:hAnsi="Arial"/>
                <w:sz w:val="14"/>
                <w:szCs w:val="14"/>
                <w:color w:val="auto"/>
              </w:rPr>
              <w:t>6,661</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11,502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2,255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6,796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13,623</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20,419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18,055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Chasewood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20,829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21,067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25,748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13,507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96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REGENCY CENTERS CORPORATION AND 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 - Consolidated Real Estate and Accumulated Depreciation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4"/>
              </w:rPr>
              <w:t>Initial Cost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Total Cost</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Cost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Capitalized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Properties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Mortgages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Improvements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Acquisition </w:t>
            </w:r>
            <w:r>
              <w:rPr>
                <w:rFonts w:ascii="Arial" w:cs="Arial" w:eastAsia="Arial" w:hAnsi="Arial"/>
                <w:sz w:val="8"/>
                <w:szCs w:val="8"/>
                <w:b w:val="1"/>
                <w:bCs w:val="1"/>
                <w:color w:val="auto"/>
                <w:w w:val="95"/>
              </w:rPr>
              <w:t>(2)</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Improvements</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Cherry Grove</w:t>
            </w:r>
          </w:p>
        </w:tc>
        <w:tc>
          <w:tcPr>
            <w:tcW w:w="580" w:type="dxa"/>
            <w:vAlign w:val="bottom"/>
          </w:tcPr>
          <w:p>
            <w:pPr>
              <w:jc w:val="right"/>
              <w:spacing w:after="0"/>
              <w:rPr>
                <w:sz w:val="20"/>
                <w:szCs w:val="20"/>
                <w:color w:val="auto"/>
              </w:rPr>
            </w:pPr>
            <w:r>
              <w:rPr>
                <w:rFonts w:ascii="Arial" w:cs="Arial" w:eastAsia="Arial" w:hAnsi="Arial"/>
                <w:sz w:val="14"/>
                <w:szCs w:val="14"/>
                <w:color w:val="auto"/>
              </w:rPr>
              <w:t>3,533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15,862</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3,581</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17,238</w:t>
            </w:r>
          </w:p>
        </w:tc>
        <w:tc>
          <w:tcPr>
            <w:tcW w:w="1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20,819</w:t>
            </w:r>
          </w:p>
        </w:tc>
        <w:tc>
          <w:tcPr>
            <w:tcW w:w="1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14,279</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Cheshire Station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9,896</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8,344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Clayton Valley Shopping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24,189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35,422</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24,538</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36,965</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61,503</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12,759</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48,744</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Cochran's Crossing</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12,315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13,154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19,906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Corkscrew Village</w:t>
            </w:r>
          </w:p>
        </w:tc>
        <w:tc>
          <w:tcPr>
            <w:tcW w:w="580" w:type="dxa"/>
            <w:vAlign w:val="bottom"/>
          </w:tcPr>
          <w:p>
            <w:pPr>
              <w:jc w:val="right"/>
              <w:spacing w:after="0"/>
              <w:rPr>
                <w:sz w:val="20"/>
                <w:szCs w:val="20"/>
                <w:color w:val="auto"/>
              </w:rPr>
            </w:pPr>
            <w:r>
              <w:rPr>
                <w:rFonts w:ascii="Arial" w:cs="Arial" w:eastAsia="Arial" w:hAnsi="Arial"/>
                <w:sz w:val="14"/>
                <w:szCs w:val="14"/>
                <w:color w:val="auto"/>
              </w:rPr>
              <w:t>8,407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8,004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8,407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8,094</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16,501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1,759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14,742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8,436</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Cornerstone Square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6,944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Corvallis Market Center</w:t>
            </w:r>
          </w:p>
        </w:tc>
        <w:tc>
          <w:tcPr>
            <w:tcW w:w="580" w:type="dxa"/>
            <w:vAlign w:val="bottom"/>
          </w:tcPr>
          <w:p>
            <w:pPr>
              <w:jc w:val="right"/>
              <w:spacing w:after="0"/>
              <w:rPr>
                <w:sz w:val="20"/>
                <w:szCs w:val="20"/>
                <w:color w:val="auto"/>
              </w:rPr>
            </w:pPr>
            <w:r>
              <w:rPr>
                <w:rFonts w:ascii="Arial" w:cs="Arial" w:eastAsia="Arial" w:hAnsi="Arial"/>
                <w:sz w:val="14"/>
                <w:szCs w:val="14"/>
                <w:color w:val="auto"/>
              </w:rPr>
              <w:t>6,674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12,244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6,696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12,256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18,952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2,481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16,471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Costa Verde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26,868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12,798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27,794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40,592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11,523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29,069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Courtyard Landcom</w:t>
            </w:r>
          </w:p>
        </w:tc>
        <w:tc>
          <w:tcPr>
            <w:tcW w:w="580" w:type="dxa"/>
            <w:vAlign w:val="bottom"/>
          </w:tcPr>
          <w:p>
            <w:pPr>
              <w:jc w:val="right"/>
              <w:spacing w:after="0"/>
              <w:rPr>
                <w:sz w:val="20"/>
                <w:szCs w:val="20"/>
                <w:color w:val="auto"/>
              </w:rPr>
            </w:pPr>
            <w:r>
              <w:rPr>
                <w:rFonts w:ascii="Arial" w:cs="Arial" w:eastAsia="Arial" w:hAnsi="Arial"/>
                <w:sz w:val="14"/>
                <w:szCs w:val="14"/>
                <w:color w:val="auto"/>
              </w:rPr>
              <w:t>5,867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5,874</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5,873</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Culpeper Colonnade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10,601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26,750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Dardenne Crossing</w:t>
            </w:r>
          </w:p>
        </w:tc>
        <w:tc>
          <w:tcPr>
            <w:tcW w:w="580" w:type="dxa"/>
            <w:vAlign w:val="bottom"/>
          </w:tcPr>
          <w:p>
            <w:pPr>
              <w:jc w:val="right"/>
              <w:spacing w:after="0"/>
              <w:rPr>
                <w:sz w:val="20"/>
                <w:szCs w:val="20"/>
                <w:color w:val="auto"/>
              </w:rPr>
            </w:pPr>
            <w:r>
              <w:rPr>
                <w:rFonts w:ascii="Arial" w:cs="Arial" w:eastAsia="Arial" w:hAnsi="Arial"/>
                <w:sz w:val="14"/>
                <w:szCs w:val="14"/>
                <w:color w:val="auto"/>
              </w:rPr>
              <w:t>4,194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4,005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4,195</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4,078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8,273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7,918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Deer Springs Town</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42,841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(56,572)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21,085</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27,299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Delk Spectrum</w:t>
            </w:r>
          </w:p>
        </w:tc>
        <w:tc>
          <w:tcPr>
            <w:tcW w:w="580" w:type="dxa"/>
            <w:vAlign w:val="bottom"/>
          </w:tcPr>
          <w:p>
            <w:pPr>
              <w:jc w:val="right"/>
              <w:spacing w:after="0"/>
              <w:rPr>
                <w:sz w:val="20"/>
                <w:szCs w:val="20"/>
                <w:color w:val="auto"/>
              </w:rPr>
            </w:pPr>
            <w:r>
              <w:rPr>
                <w:rFonts w:ascii="Arial" w:cs="Arial" w:eastAsia="Arial" w:hAnsi="Arial"/>
                <w:sz w:val="14"/>
                <w:szCs w:val="14"/>
                <w:color w:val="auto"/>
              </w:rPr>
              <w:t>2,985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12,001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12,372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15,372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4,992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10,380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Diablo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8,181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14,246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Dickson Tn</w:t>
            </w:r>
          </w:p>
        </w:tc>
        <w:tc>
          <w:tcPr>
            <w:tcW w:w="580" w:type="dxa"/>
            <w:vAlign w:val="bottom"/>
          </w:tcPr>
          <w:p>
            <w:pPr>
              <w:jc w:val="right"/>
              <w:spacing w:after="0"/>
              <w:rPr>
                <w:sz w:val="20"/>
                <w:szCs w:val="20"/>
                <w:color w:val="auto"/>
              </w:rPr>
            </w:pPr>
            <w:r>
              <w:rPr>
                <w:rFonts w:ascii="Arial" w:cs="Arial" w:eastAsia="Arial" w:hAnsi="Arial"/>
                <w:sz w:val="14"/>
                <w:szCs w:val="14"/>
                <w:color w:val="auto"/>
              </w:rPr>
              <w:t>675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1,568</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2,243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1,725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Dunwoody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15,934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17,236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20,578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East Pointe</w:t>
            </w:r>
          </w:p>
        </w:tc>
        <w:tc>
          <w:tcPr>
            <w:tcW w:w="580" w:type="dxa"/>
            <w:vAlign w:val="bottom"/>
          </w:tcPr>
          <w:p>
            <w:pPr>
              <w:jc w:val="right"/>
              <w:spacing w:after="0"/>
              <w:rPr>
                <w:sz w:val="20"/>
                <w:szCs w:val="20"/>
                <w:color w:val="auto"/>
              </w:rPr>
            </w:pPr>
            <w:r>
              <w:rPr>
                <w:rFonts w:ascii="Arial" w:cs="Arial" w:eastAsia="Arial" w:hAnsi="Arial"/>
                <w:sz w:val="14"/>
                <w:szCs w:val="14"/>
                <w:color w:val="auto"/>
              </w:rPr>
              <w:t>1,730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7,189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7,527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9,257</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5,922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East Towne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4,938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El Camino Shopping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7,600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11,538</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7,600</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11,742</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19,342</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4,349</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14,993</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El Cerrito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27,371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34,975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39,976</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El Norte Parkway Plaza</w:t>
            </w:r>
          </w:p>
        </w:tc>
        <w:tc>
          <w:tcPr>
            <w:tcW w:w="580" w:type="dxa"/>
            <w:vAlign w:val="bottom"/>
          </w:tcPr>
          <w:p>
            <w:pPr>
              <w:jc w:val="right"/>
              <w:spacing w:after="0"/>
              <w:rPr>
                <w:sz w:val="20"/>
                <w:szCs w:val="20"/>
                <w:color w:val="auto"/>
              </w:rPr>
            </w:pPr>
            <w:r>
              <w:rPr>
                <w:rFonts w:ascii="Arial" w:cs="Arial" w:eastAsia="Arial" w:hAnsi="Arial"/>
                <w:sz w:val="14"/>
                <w:szCs w:val="14"/>
                <w:color w:val="auto"/>
              </w:rPr>
              <w:t>2,834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7,370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7,474</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10,314</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3,084</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7,230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Encina Grande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11,572</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16,612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12,089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Fairfax Shopping Center</w:t>
            </w:r>
          </w:p>
        </w:tc>
        <w:tc>
          <w:tcPr>
            <w:tcW w:w="580" w:type="dxa"/>
            <w:vAlign w:val="bottom"/>
          </w:tcPr>
          <w:p>
            <w:pPr>
              <w:jc w:val="right"/>
              <w:spacing w:after="0"/>
              <w:rPr>
                <w:sz w:val="20"/>
                <w:szCs w:val="20"/>
                <w:color w:val="auto"/>
              </w:rPr>
            </w:pPr>
            <w:r>
              <w:rPr>
                <w:rFonts w:ascii="Arial" w:cs="Arial" w:eastAsia="Arial" w:hAnsi="Arial"/>
                <w:sz w:val="14"/>
                <w:szCs w:val="14"/>
                <w:color w:val="auto"/>
              </w:rPr>
              <w:t>15,239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11,367</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(5,523)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13,175</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7,908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21,083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20,005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Falcon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4,168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Fenton Marketplace</w:t>
            </w:r>
          </w:p>
        </w:tc>
        <w:tc>
          <w:tcPr>
            <w:tcW w:w="580" w:type="dxa"/>
            <w:vAlign w:val="bottom"/>
          </w:tcPr>
          <w:p>
            <w:pPr>
              <w:jc w:val="right"/>
              <w:spacing w:after="0"/>
              <w:rPr>
                <w:sz w:val="20"/>
                <w:szCs w:val="20"/>
                <w:color w:val="auto"/>
              </w:rPr>
            </w:pPr>
            <w:r>
              <w:rPr>
                <w:rFonts w:ascii="Arial" w:cs="Arial" w:eastAsia="Arial" w:hAnsi="Arial"/>
                <w:sz w:val="14"/>
                <w:szCs w:val="14"/>
                <w:color w:val="auto"/>
              </w:rPr>
              <w:t>2,298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8,510</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(8,709)</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1,962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Fleming Island</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11,587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13,849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12,356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French Valley Village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11,924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16,856</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11,822</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16,963</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28,785</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6,211</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22,574</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Friars Mission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28,021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28,530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35,190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25,129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Gardens Square</w:t>
            </w:r>
          </w:p>
        </w:tc>
        <w:tc>
          <w:tcPr>
            <w:tcW w:w="580" w:type="dxa"/>
            <w:vAlign w:val="bottom"/>
          </w:tcPr>
          <w:p>
            <w:pPr>
              <w:jc w:val="right"/>
              <w:spacing w:after="0"/>
              <w:rPr>
                <w:sz w:val="20"/>
                <w:szCs w:val="20"/>
                <w:color w:val="auto"/>
              </w:rPr>
            </w:pPr>
            <w:r>
              <w:rPr>
                <w:rFonts w:ascii="Arial" w:cs="Arial" w:eastAsia="Arial" w:hAnsi="Arial"/>
                <w:sz w:val="14"/>
                <w:szCs w:val="14"/>
                <w:color w:val="auto"/>
              </w:rPr>
              <w:t>2,136</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8,273</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8,606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10,742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3,452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7,290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Gateway 101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9,113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Gateway Shopping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52,665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7,134</w:t>
            </w:r>
          </w:p>
        </w:tc>
        <w:tc>
          <w:tcPr>
            <w:tcW w:w="1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52,672</w:t>
            </w:r>
          </w:p>
        </w:tc>
        <w:tc>
          <w:tcPr>
            <w:tcW w:w="1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8,637</w:t>
            </w:r>
          </w:p>
        </w:tc>
        <w:tc>
          <w:tcPr>
            <w:tcW w:w="100" w:type="dxa"/>
            <w:vAlign w:val="bottom"/>
          </w:tcPr>
          <w:p>
            <w:pPr>
              <w:spacing w:after="0"/>
              <w:rPr>
                <w:sz w:val="15"/>
                <w:szCs w:val="15"/>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61,309</w:t>
            </w:r>
          </w:p>
        </w:tc>
        <w:tc>
          <w:tcPr>
            <w:tcW w:w="1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7,376</w:t>
            </w:r>
          </w:p>
        </w:tc>
        <w:tc>
          <w:tcPr>
            <w:tcW w:w="1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53,933</w:t>
            </w:r>
          </w:p>
        </w:tc>
        <w:tc>
          <w:tcPr>
            <w:tcW w:w="1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16,652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47"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REGENCY CENTERS CORPORATION AND 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 - Consolidated Real Estate and Accumulated Depreciation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4"/>
              </w:rPr>
              <w:t>Initial Cost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Total Cost</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Cost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Properties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Mortgages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Improvements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Acquisition </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Improvements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4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Gelson's Westlake Market</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11,153</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14,641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Glen Oak Plaza</w:t>
            </w:r>
          </w:p>
        </w:tc>
        <w:tc>
          <w:tcPr>
            <w:tcW w:w="580" w:type="dxa"/>
            <w:vAlign w:val="bottom"/>
          </w:tcPr>
          <w:p>
            <w:pPr>
              <w:jc w:val="right"/>
              <w:spacing w:after="0"/>
              <w:rPr>
                <w:sz w:val="20"/>
                <w:szCs w:val="20"/>
                <w:color w:val="auto"/>
              </w:rPr>
            </w:pPr>
            <w:r>
              <w:rPr>
                <w:rFonts w:ascii="Arial" w:cs="Arial" w:eastAsia="Arial" w:hAnsi="Arial"/>
                <w:sz w:val="14"/>
                <w:szCs w:val="14"/>
                <w:color w:val="auto"/>
              </w:rPr>
              <w:t>4,103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12,951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4,103</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13,179</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17,282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16,195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Glenwood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5,381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Golden Hills Plaza</w:t>
            </w:r>
          </w:p>
        </w:tc>
        <w:tc>
          <w:tcPr>
            <w:tcW w:w="580" w:type="dxa"/>
            <w:vAlign w:val="bottom"/>
          </w:tcPr>
          <w:p>
            <w:pPr>
              <w:jc w:val="right"/>
              <w:spacing w:after="0"/>
              <w:rPr>
                <w:sz w:val="20"/>
                <w:szCs w:val="20"/>
                <w:color w:val="auto"/>
              </w:rPr>
            </w:pPr>
            <w:r>
              <w:rPr>
                <w:rFonts w:ascii="Arial" w:cs="Arial" w:eastAsia="Arial" w:hAnsi="Arial"/>
                <w:sz w:val="14"/>
                <w:szCs w:val="14"/>
                <w:color w:val="auto"/>
              </w:rPr>
              <w:t>12,699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18,482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3,023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12,699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21,505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34,204</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2,659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31,545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Grand Ridge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8,454</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10,694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12,653</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Greenwood Springs</w:t>
            </w:r>
          </w:p>
        </w:tc>
        <w:tc>
          <w:tcPr>
            <w:tcW w:w="580" w:type="dxa"/>
            <w:vAlign w:val="bottom"/>
          </w:tcPr>
          <w:p>
            <w:pPr>
              <w:jc w:val="right"/>
              <w:spacing w:after="0"/>
              <w:rPr>
                <w:sz w:val="20"/>
                <w:szCs w:val="20"/>
                <w:color w:val="auto"/>
              </w:rPr>
            </w:pPr>
            <w:r>
              <w:rPr>
                <w:rFonts w:ascii="Arial" w:cs="Arial" w:eastAsia="Arial" w:hAnsi="Arial"/>
                <w:sz w:val="14"/>
                <w:szCs w:val="14"/>
                <w:color w:val="auto"/>
              </w:rPr>
              <w:t>2,720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3,059</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2,084</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1,928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Hancock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28,260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29,127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37,359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25,971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Harpeth Village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Fieldstone</w:t>
            </w:r>
          </w:p>
        </w:tc>
        <w:tc>
          <w:tcPr>
            <w:tcW w:w="580" w:type="dxa"/>
            <w:vAlign w:val="bottom"/>
          </w:tcPr>
          <w:p>
            <w:pPr>
              <w:jc w:val="right"/>
              <w:spacing w:after="0"/>
              <w:rPr>
                <w:sz w:val="20"/>
                <w:szCs w:val="20"/>
                <w:color w:val="auto"/>
              </w:rPr>
            </w:pPr>
            <w:r>
              <w:rPr>
                <w:rFonts w:ascii="Arial" w:cs="Arial" w:eastAsia="Arial" w:hAnsi="Arial"/>
                <w:sz w:val="14"/>
                <w:szCs w:val="14"/>
                <w:color w:val="auto"/>
              </w:rPr>
              <w:t>2,284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9,443</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9,621</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11,905</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3,660</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8,245</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Harris Crossing</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3,677</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10,876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Heritage Land</w:t>
            </w:r>
          </w:p>
        </w:tc>
        <w:tc>
          <w:tcPr>
            <w:tcW w:w="580" w:type="dxa"/>
            <w:vAlign w:val="bottom"/>
          </w:tcPr>
          <w:p>
            <w:pPr>
              <w:jc w:val="right"/>
              <w:spacing w:after="0"/>
              <w:rPr>
                <w:sz w:val="20"/>
                <w:szCs w:val="20"/>
                <w:color w:val="auto"/>
              </w:rPr>
            </w:pPr>
            <w:r>
              <w:rPr>
                <w:rFonts w:ascii="Arial" w:cs="Arial" w:eastAsia="Arial" w:hAnsi="Arial"/>
                <w:sz w:val="14"/>
                <w:szCs w:val="14"/>
                <w:color w:val="auto"/>
              </w:rPr>
              <w:t>12,390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12,390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12,390</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12,390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Heritage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26,097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12,882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38,871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38,979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28,317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Hershey</w:t>
            </w: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Hibernia Pavilion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5,065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Hibernia Plaza</w:t>
            </w:r>
          </w:p>
        </w:tc>
        <w:tc>
          <w:tcPr>
            <w:tcW w:w="580" w:type="dxa"/>
            <w:vAlign w:val="bottom"/>
          </w:tcPr>
          <w:p>
            <w:pPr>
              <w:jc w:val="right"/>
              <w:spacing w:after="0"/>
              <w:rPr>
                <w:sz w:val="20"/>
                <w:szCs w:val="20"/>
                <w:color w:val="auto"/>
              </w:rPr>
            </w:pPr>
            <w:r>
              <w:rPr>
                <w:rFonts w:ascii="Arial" w:cs="Arial" w:eastAsia="Arial" w:hAnsi="Arial"/>
                <w:sz w:val="14"/>
                <w:szCs w:val="14"/>
                <w:color w:val="auto"/>
              </w:rPr>
              <w:t>267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Hickory Creek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4,564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10,471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Hillcrest Village</w:t>
            </w:r>
          </w:p>
        </w:tc>
        <w:tc>
          <w:tcPr>
            <w:tcW w:w="580" w:type="dxa"/>
            <w:vAlign w:val="bottom"/>
          </w:tcPr>
          <w:p>
            <w:pPr>
              <w:jc w:val="right"/>
              <w:spacing w:after="0"/>
              <w:rPr>
                <w:sz w:val="20"/>
                <w:szCs w:val="20"/>
                <w:color w:val="auto"/>
              </w:rPr>
            </w:pPr>
            <w:r>
              <w:rPr>
                <w:rFonts w:ascii="Arial" w:cs="Arial" w:eastAsia="Arial" w:hAnsi="Arial"/>
                <w:sz w:val="14"/>
                <w:szCs w:val="14"/>
                <w:color w:val="auto"/>
              </w:rPr>
              <w:t>1,600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1,909</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3,509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2,818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Hinsdale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16,709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23,859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Horton's Corner</w:t>
            </w:r>
          </w:p>
        </w:tc>
        <w:tc>
          <w:tcPr>
            <w:tcW w:w="580" w:type="dxa"/>
            <w:vAlign w:val="bottom"/>
          </w:tcPr>
          <w:p>
            <w:pPr>
              <w:jc w:val="right"/>
              <w:spacing w:after="0"/>
              <w:rPr>
                <w:sz w:val="20"/>
                <w:szCs w:val="20"/>
                <w:color w:val="auto"/>
              </w:rPr>
            </w:pPr>
            <w:r>
              <w:rPr>
                <w:rFonts w:ascii="Arial" w:cs="Arial" w:eastAsia="Arial" w:hAnsi="Arial"/>
                <w:sz w:val="14"/>
                <w:szCs w:val="14"/>
                <w:color w:val="auto"/>
              </w:rPr>
              <w:t>3,137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2,779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3,216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2,731</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5,947</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5,254</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Howell Mill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14,279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15,108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20,265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18,291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Hyde Park</w:t>
            </w:r>
          </w:p>
        </w:tc>
        <w:tc>
          <w:tcPr>
            <w:tcW w:w="580" w:type="dxa"/>
            <w:vAlign w:val="bottom"/>
          </w:tcPr>
          <w:p>
            <w:pPr>
              <w:jc w:val="right"/>
              <w:spacing w:after="0"/>
              <w:rPr>
                <w:sz w:val="20"/>
                <w:szCs w:val="20"/>
                <w:color w:val="auto"/>
              </w:rPr>
            </w:pPr>
            <w:r>
              <w:rPr>
                <w:rFonts w:ascii="Arial" w:cs="Arial" w:eastAsia="Arial" w:hAnsi="Arial"/>
                <w:sz w:val="14"/>
                <w:szCs w:val="14"/>
                <w:color w:val="auto"/>
              </w:rPr>
              <w:t>9,809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39,905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9,809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41,211</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51,020</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17,450</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33,570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Indio Towne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17,946</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31,985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17,949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32,186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50,135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43,938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Inglewood Plaza</w:t>
            </w:r>
          </w:p>
        </w:tc>
        <w:tc>
          <w:tcPr>
            <w:tcW w:w="580" w:type="dxa"/>
            <w:vAlign w:val="bottom"/>
          </w:tcPr>
          <w:p>
            <w:pPr>
              <w:jc w:val="right"/>
              <w:spacing w:after="0"/>
              <w:rPr>
                <w:sz w:val="20"/>
                <w:szCs w:val="20"/>
                <w:color w:val="auto"/>
              </w:rPr>
            </w:pPr>
            <w:r>
              <w:rPr>
                <w:rFonts w:ascii="Arial" w:cs="Arial" w:eastAsia="Arial" w:hAnsi="Arial"/>
                <w:sz w:val="14"/>
                <w:szCs w:val="14"/>
                <w:color w:val="auto"/>
              </w:rPr>
              <w:t>1,300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2,159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3,568</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2,702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Jefferson Square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6,445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11,689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Keller Town Center</w:t>
            </w:r>
          </w:p>
        </w:tc>
        <w:tc>
          <w:tcPr>
            <w:tcW w:w="580" w:type="dxa"/>
            <w:vAlign w:val="bottom"/>
          </w:tcPr>
          <w:p>
            <w:pPr>
              <w:jc w:val="right"/>
              <w:spacing w:after="0"/>
              <w:rPr>
                <w:sz w:val="20"/>
                <w:szCs w:val="20"/>
                <w:color w:val="auto"/>
              </w:rPr>
            </w:pPr>
            <w:r>
              <w:rPr>
                <w:rFonts w:ascii="Arial" w:cs="Arial" w:eastAsia="Arial" w:hAnsi="Arial"/>
                <w:sz w:val="14"/>
                <w:szCs w:val="14"/>
                <w:color w:val="auto"/>
              </w:rPr>
              <w:t>2,294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12,841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12,888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15,182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10,602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Kent Place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3,544</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Kings Crossing Sun City</w:t>
            </w:r>
          </w:p>
        </w:tc>
        <w:tc>
          <w:tcPr>
            <w:tcW w:w="580" w:type="dxa"/>
            <w:vAlign w:val="bottom"/>
          </w:tcPr>
          <w:p>
            <w:pPr>
              <w:jc w:val="right"/>
              <w:spacing w:after="0"/>
              <w:rPr>
                <w:sz w:val="20"/>
                <w:szCs w:val="20"/>
                <w:color w:val="auto"/>
              </w:rPr>
            </w:pPr>
            <w:r>
              <w:rPr>
                <w:rFonts w:ascii="Arial" w:cs="Arial" w:eastAsia="Arial" w:hAnsi="Arial"/>
                <w:sz w:val="14"/>
                <w:szCs w:val="14"/>
                <w:color w:val="auto"/>
              </w:rPr>
              <w:t>515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1,246</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Kirkwood Commons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16,224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16,533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23,335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22,358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13,103</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Kroger New Albany</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3,844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6,599</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3,844</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6,955</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10,799</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6,947</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3,041</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Kulpsville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3,756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Lake Pine Plaza</w:t>
            </w:r>
          </w:p>
        </w:tc>
        <w:tc>
          <w:tcPr>
            <w:tcW w:w="580" w:type="dxa"/>
            <w:vAlign w:val="bottom"/>
          </w:tcPr>
          <w:p>
            <w:pPr>
              <w:jc w:val="right"/>
              <w:spacing w:after="0"/>
              <w:rPr>
                <w:sz w:val="20"/>
                <w:szCs w:val="20"/>
                <w:color w:val="auto"/>
              </w:rPr>
            </w:pPr>
            <w:r>
              <w:rPr>
                <w:rFonts w:ascii="Arial" w:cs="Arial" w:eastAsia="Arial" w:hAnsi="Arial"/>
                <w:sz w:val="14"/>
                <w:szCs w:val="14"/>
                <w:color w:val="auto"/>
              </w:rPr>
              <w:t>2,008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7,632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7,887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9,916</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2,967</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6,949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Lebanon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5,751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8,227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47"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REGENCY CENTERS CORPORATION AND 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 - Consolidated Real Estate and Accumulated Depreciation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4"/>
              </w:rPr>
              <w:t>Initial Cost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Total Cost</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Cost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Properties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Mortgages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Improvements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Acquisition </w:t>
            </w:r>
            <w:r>
              <w:rPr>
                <w:rFonts w:ascii="Arial" w:cs="Arial" w:eastAsia="Arial" w:hAnsi="Arial"/>
                <w:sz w:val="8"/>
                <w:szCs w:val="8"/>
                <w:b w:val="1"/>
                <w:bCs w:val="1"/>
                <w:color w:val="auto"/>
                <w:w w:val="95"/>
              </w:rPr>
              <w:t>(2)</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Improvements</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Lebanon/Legacy Center</w:t>
            </w:r>
          </w:p>
        </w:tc>
        <w:tc>
          <w:tcPr>
            <w:tcW w:w="580" w:type="dxa"/>
            <w:vAlign w:val="bottom"/>
          </w:tcPr>
          <w:p>
            <w:pPr>
              <w:jc w:val="right"/>
              <w:spacing w:after="0"/>
              <w:rPr>
                <w:sz w:val="20"/>
                <w:szCs w:val="20"/>
                <w:color w:val="auto"/>
              </w:rPr>
            </w:pPr>
            <w:r>
              <w:rPr>
                <w:rFonts w:ascii="Arial" w:cs="Arial" w:eastAsia="Arial" w:hAnsi="Arial"/>
                <w:sz w:val="14"/>
                <w:szCs w:val="14"/>
                <w:color w:val="auto"/>
              </w:rPr>
              <w:t>3,913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7,874</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8,010</w:t>
            </w:r>
          </w:p>
        </w:tc>
        <w:tc>
          <w:tcPr>
            <w:tcW w:w="1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11,923</w:t>
            </w:r>
          </w:p>
        </w:tc>
        <w:tc>
          <w:tcPr>
            <w:tcW w:w="1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4,012</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7,911</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Littleton Square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8,859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Lloyd King</w:t>
            </w:r>
          </w:p>
        </w:tc>
        <w:tc>
          <w:tcPr>
            <w:tcW w:w="580" w:type="dxa"/>
            <w:vAlign w:val="bottom"/>
          </w:tcPr>
          <w:p>
            <w:pPr>
              <w:jc w:val="right"/>
              <w:spacing w:after="0"/>
              <w:rPr>
                <w:sz w:val="20"/>
                <w:szCs w:val="20"/>
                <w:color w:val="auto"/>
              </w:rPr>
            </w:pPr>
            <w:r>
              <w:rPr>
                <w:rFonts w:ascii="Arial" w:cs="Arial" w:eastAsia="Arial" w:hAnsi="Arial"/>
                <w:sz w:val="14"/>
                <w:szCs w:val="14"/>
                <w:color w:val="auto"/>
              </w:rPr>
              <w:t>1,779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10,060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10,800</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12,579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3,963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8,616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Loehmann's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18,687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19,244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23,227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14,140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Loehmanns Plaza</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580" w:type="dxa"/>
            <w:vAlign w:val="bottom"/>
          </w:tcPr>
          <w:p>
            <w:pPr>
              <w:jc w:val="right"/>
              <w:spacing w:after="0"/>
              <w:rPr>
                <w:sz w:val="20"/>
                <w:szCs w:val="20"/>
                <w:color w:val="auto"/>
              </w:rPr>
            </w:pPr>
            <w:r>
              <w:rPr>
                <w:rFonts w:ascii="Arial" w:cs="Arial" w:eastAsia="Arial" w:hAnsi="Arial"/>
                <w:sz w:val="14"/>
                <w:szCs w:val="14"/>
                <w:color w:val="auto"/>
              </w:rPr>
              <w:t>5,420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9,450</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5,420</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9,940</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15,360</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3,770</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11,590</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Lower Nazareth</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12,964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15,749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32,110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29,044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Market at Colonnade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6,455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9,839</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6,455</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9,839</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16,294</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15,477</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Market at Opitz Crossing</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9,248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6,717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12,297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Market at Preston Forest</w:t>
            </w:r>
          </w:p>
        </w:tc>
        <w:tc>
          <w:tcPr>
            <w:tcW w:w="580" w:type="dxa"/>
            <w:vAlign w:val="bottom"/>
          </w:tcPr>
          <w:p>
            <w:pPr>
              <w:jc w:val="right"/>
              <w:spacing w:after="0"/>
              <w:rPr>
                <w:sz w:val="20"/>
                <w:szCs w:val="20"/>
                <w:color w:val="auto"/>
              </w:rPr>
            </w:pPr>
            <w:r>
              <w:rPr>
                <w:rFonts w:ascii="Arial" w:cs="Arial" w:eastAsia="Arial" w:hAnsi="Arial"/>
                <w:sz w:val="14"/>
                <w:szCs w:val="14"/>
                <w:color w:val="auto"/>
              </w:rPr>
              <w:t>4,400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11,445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12,265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16,665</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12,249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Market at Round Rock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9,676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15,062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Marketplace Shopping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tcPr>
          <w:p>
            <w:pPr>
              <w:jc w:val="right"/>
              <w:spacing w:after="0"/>
              <w:rPr>
                <w:sz w:val="20"/>
                <w:szCs w:val="20"/>
                <w:color w:val="auto"/>
              </w:rPr>
            </w:pPr>
            <w:r>
              <w:rPr>
                <w:rFonts w:ascii="Arial" w:cs="Arial" w:eastAsia="Arial" w:hAnsi="Arial"/>
                <w:sz w:val="14"/>
                <w:szCs w:val="14"/>
                <w:color w:val="auto"/>
              </w:rPr>
              <w:t>1,287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5,509</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5,125</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10,591</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11,921</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3,158</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8,763</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Marketplace at Briargate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4,885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Middle Creek Commons</w:t>
            </w:r>
          </w:p>
        </w:tc>
        <w:tc>
          <w:tcPr>
            <w:tcW w:w="580" w:type="dxa"/>
            <w:vAlign w:val="bottom"/>
          </w:tcPr>
          <w:p>
            <w:pPr>
              <w:jc w:val="right"/>
              <w:spacing w:after="0"/>
              <w:rPr>
                <w:sz w:val="20"/>
                <w:szCs w:val="20"/>
                <w:color w:val="auto"/>
              </w:rPr>
            </w:pPr>
            <w:r>
              <w:rPr>
                <w:rFonts w:ascii="Arial" w:cs="Arial" w:eastAsia="Arial" w:hAnsi="Arial"/>
                <w:sz w:val="14"/>
                <w:szCs w:val="14"/>
                <w:color w:val="auto"/>
              </w:rPr>
              <w:t>5,042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8,100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5,091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8,202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13,293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11,196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Millhopper Shopping</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5,358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Mockingbird Common</w:t>
            </w: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10,728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11,189</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14,189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4,353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9,836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10,300</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Monument Jackson Creek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6,765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Morningside Plaza</w:t>
            </w:r>
          </w:p>
        </w:tc>
        <w:tc>
          <w:tcPr>
            <w:tcW w:w="580" w:type="dxa"/>
            <w:vAlign w:val="bottom"/>
          </w:tcPr>
          <w:p>
            <w:pPr>
              <w:jc w:val="right"/>
              <w:spacing w:after="0"/>
              <w:rPr>
                <w:sz w:val="20"/>
                <w:szCs w:val="20"/>
                <w:color w:val="auto"/>
              </w:rPr>
            </w:pPr>
            <w:r>
              <w:rPr>
                <w:rFonts w:ascii="Arial" w:cs="Arial" w:eastAsia="Arial" w:hAnsi="Arial"/>
                <w:sz w:val="14"/>
                <w:szCs w:val="14"/>
                <w:color w:val="auto"/>
              </w:rPr>
              <w:t>4,300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13,951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14,383</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18,683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5,376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13,307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Murryhill Marketplace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18,401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18,821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14,119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7,284</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Naples Walk</w:t>
            </w:r>
          </w:p>
        </w:tc>
        <w:tc>
          <w:tcPr>
            <w:tcW w:w="580" w:type="dxa"/>
            <w:vAlign w:val="bottom"/>
          </w:tcPr>
          <w:p>
            <w:pPr>
              <w:jc w:val="right"/>
              <w:spacing w:after="0"/>
              <w:rPr>
                <w:sz w:val="20"/>
                <w:szCs w:val="20"/>
                <w:color w:val="auto"/>
              </w:rPr>
            </w:pPr>
            <w:r>
              <w:rPr>
                <w:rFonts w:ascii="Arial" w:cs="Arial" w:eastAsia="Arial" w:hAnsi="Arial"/>
                <w:sz w:val="14"/>
                <w:szCs w:val="14"/>
                <w:color w:val="auto"/>
              </w:rPr>
              <w:t>18,173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13,554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18,173</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13,778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31,951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29,118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15,844</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Newberry Square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10,150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Newland Center</w:t>
            </w:r>
          </w:p>
        </w:tc>
        <w:tc>
          <w:tcPr>
            <w:tcW w:w="580" w:type="dxa"/>
            <w:vAlign w:val="bottom"/>
          </w:tcPr>
          <w:p>
            <w:pPr>
              <w:jc w:val="right"/>
              <w:spacing w:after="0"/>
              <w:rPr>
                <w:sz w:val="20"/>
                <w:szCs w:val="20"/>
                <w:color w:val="auto"/>
              </w:rPr>
            </w:pPr>
            <w:r>
              <w:rPr>
                <w:rFonts w:ascii="Arial" w:cs="Arial" w:eastAsia="Arial" w:hAnsi="Arial"/>
                <w:sz w:val="14"/>
                <w:szCs w:val="14"/>
                <w:color w:val="auto"/>
              </w:rPr>
              <w:t>12,500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10,697</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11,272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23,772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4,655</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19,117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Nocatee Town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8,691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8,691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18,815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17,476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North Hills</w:t>
            </w:r>
          </w:p>
        </w:tc>
        <w:tc>
          <w:tcPr>
            <w:tcW w:w="580" w:type="dxa"/>
            <w:vAlign w:val="bottom"/>
          </w:tcPr>
          <w:p>
            <w:pPr>
              <w:jc w:val="right"/>
              <w:spacing w:after="0"/>
              <w:rPr>
                <w:sz w:val="20"/>
                <w:szCs w:val="20"/>
                <w:color w:val="auto"/>
              </w:rPr>
            </w:pPr>
            <w:r>
              <w:rPr>
                <w:rFonts w:ascii="Arial" w:cs="Arial" w:eastAsia="Arial" w:hAnsi="Arial"/>
                <w:sz w:val="14"/>
                <w:szCs w:val="14"/>
                <w:color w:val="auto"/>
              </w:rPr>
              <w:t>4,900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19,774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20,529</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25,429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7,392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18,037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Northgate Marketplace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13,727</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19,184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Northgate Plaza</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(Maxtown Road)</w:t>
            </w:r>
          </w:p>
        </w:tc>
        <w:tc>
          <w:tcPr>
            <w:tcW w:w="580" w:type="dxa"/>
            <w:vAlign w:val="bottom"/>
          </w:tcPr>
          <w:p>
            <w:pPr>
              <w:jc w:val="right"/>
              <w:spacing w:after="0"/>
              <w:rPr>
                <w:sz w:val="20"/>
                <w:szCs w:val="20"/>
                <w:color w:val="auto"/>
              </w:rPr>
            </w:pPr>
            <w:r>
              <w:rPr>
                <w:rFonts w:ascii="Arial" w:cs="Arial" w:eastAsia="Arial" w:hAnsi="Arial"/>
                <w:sz w:val="14"/>
                <w:szCs w:val="14"/>
                <w:color w:val="auto"/>
              </w:rPr>
              <w:t>1,769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6,652</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6,802</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8,571</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2,785</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5,786</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Northgate Square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8,692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13,886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12,063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5,711</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Northlake Village</w:t>
            </w:r>
          </w:p>
        </w:tc>
        <w:tc>
          <w:tcPr>
            <w:tcW w:w="580" w:type="dxa"/>
            <w:vAlign w:val="bottom"/>
          </w:tcPr>
          <w:p>
            <w:pPr>
              <w:jc w:val="right"/>
              <w:spacing w:after="0"/>
              <w:rPr>
                <w:sz w:val="20"/>
                <w:szCs w:val="20"/>
                <w:color w:val="auto"/>
              </w:rPr>
            </w:pPr>
            <w:r>
              <w:rPr>
                <w:rFonts w:ascii="Arial" w:cs="Arial" w:eastAsia="Arial" w:hAnsi="Arial"/>
                <w:sz w:val="14"/>
                <w:szCs w:val="14"/>
                <w:color w:val="auto"/>
              </w:rPr>
              <w:t>2,662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11,284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11,767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14,429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4,098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10,331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Oak Shade Town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28,966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28,990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35,581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34,178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11,771</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Oakbrook Plaza</w:t>
            </w:r>
          </w:p>
        </w:tc>
        <w:tc>
          <w:tcPr>
            <w:tcW w:w="580" w:type="dxa"/>
            <w:vAlign w:val="bottom"/>
          </w:tcPr>
          <w:p>
            <w:pPr>
              <w:jc w:val="right"/>
              <w:spacing w:after="0"/>
              <w:rPr>
                <w:sz w:val="20"/>
                <w:szCs w:val="20"/>
                <w:color w:val="auto"/>
              </w:rPr>
            </w:pPr>
            <w:r>
              <w:rPr>
                <w:rFonts w:ascii="Arial" w:cs="Arial" w:eastAsia="Arial" w:hAnsi="Arial"/>
                <w:sz w:val="14"/>
                <w:szCs w:val="14"/>
                <w:color w:val="auto"/>
              </w:rPr>
              <w:t>4,000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6,668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6,871</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10,871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2,675</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8,196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Oakleaf Commons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11,671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Ocala Corners</w:t>
            </w:r>
          </w:p>
        </w:tc>
        <w:tc>
          <w:tcPr>
            <w:tcW w:w="580" w:type="dxa"/>
            <w:vAlign w:val="bottom"/>
          </w:tcPr>
          <w:p>
            <w:pPr>
              <w:jc w:val="right"/>
              <w:spacing w:after="0"/>
              <w:rPr>
                <w:sz w:val="20"/>
                <w:szCs w:val="20"/>
                <w:color w:val="auto"/>
              </w:rPr>
            </w:pPr>
            <w:r>
              <w:rPr>
                <w:rFonts w:ascii="Arial" w:cs="Arial" w:eastAsia="Arial" w:hAnsi="Arial"/>
                <w:sz w:val="14"/>
                <w:szCs w:val="14"/>
                <w:color w:val="auto"/>
              </w:rPr>
              <w:t>1,816</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10,515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10,594</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12,410</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11,674</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747"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t>REGENCY CENTERS CORPORATION AND 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 - Consolidated Real Estate and Accumulated Depreciation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4"/>
              </w:rPr>
              <w:t>Initial Cost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Total Cost</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Cost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Capitalized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Properties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Mortgages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Improvements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Acquisition </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Improvements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Old St Augustine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11,405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11,769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14,137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Orangeburg &amp; Central</w:t>
            </w:r>
          </w:p>
        </w:tc>
        <w:tc>
          <w:tcPr>
            <w:tcW w:w="580" w:type="dxa"/>
            <w:vAlign w:val="bottom"/>
          </w:tcPr>
          <w:p>
            <w:pPr>
              <w:jc w:val="right"/>
              <w:spacing w:after="0"/>
              <w:rPr>
                <w:sz w:val="20"/>
                <w:szCs w:val="20"/>
                <w:color w:val="auto"/>
              </w:rPr>
            </w:pPr>
            <w:r>
              <w:rPr>
                <w:rFonts w:ascii="Arial" w:cs="Arial" w:eastAsia="Arial" w:hAnsi="Arial"/>
                <w:sz w:val="14"/>
                <w:szCs w:val="14"/>
                <w:color w:val="auto"/>
              </w:rPr>
              <w:t>2,071</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2,071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4,371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3,853</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Orchards Market Center</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II</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9,690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7,873</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Paces Ferry Plaza</w:t>
            </w:r>
          </w:p>
        </w:tc>
        <w:tc>
          <w:tcPr>
            <w:tcW w:w="580" w:type="dxa"/>
            <w:vAlign w:val="bottom"/>
          </w:tcPr>
          <w:p>
            <w:pPr>
              <w:jc w:val="right"/>
              <w:spacing w:after="0"/>
              <w:rPr>
                <w:sz w:val="20"/>
                <w:szCs w:val="20"/>
                <w:color w:val="auto"/>
              </w:rPr>
            </w:pPr>
            <w:r>
              <w:rPr>
                <w:rFonts w:ascii="Arial" w:cs="Arial" w:eastAsia="Arial" w:hAnsi="Arial"/>
                <w:sz w:val="14"/>
                <w:szCs w:val="14"/>
                <w:color w:val="auto"/>
              </w:rPr>
              <w:t>2,812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12,639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12,820</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15,632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6,453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9,179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Panther Creek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14,748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15,212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16,317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31,529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23,902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Peartree Village</w:t>
            </w:r>
          </w:p>
        </w:tc>
        <w:tc>
          <w:tcPr>
            <w:tcW w:w="580" w:type="dxa"/>
            <w:vAlign w:val="bottom"/>
          </w:tcPr>
          <w:p>
            <w:pPr>
              <w:jc w:val="right"/>
              <w:spacing w:after="0"/>
              <w:rPr>
                <w:sz w:val="20"/>
                <w:szCs w:val="20"/>
                <w:color w:val="auto"/>
              </w:rPr>
            </w:pPr>
            <w:r>
              <w:rPr>
                <w:rFonts w:ascii="Arial" w:cs="Arial" w:eastAsia="Arial" w:hAnsi="Arial"/>
                <w:sz w:val="14"/>
                <w:szCs w:val="14"/>
                <w:color w:val="auto"/>
              </w:rPr>
              <w:t>5,197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19,746</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5,197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20,522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25,719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8,521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17,198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8,575</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Pike Creek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20,652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21,157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26,310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8,396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17,914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Pima Crossing</w:t>
            </w:r>
          </w:p>
        </w:tc>
        <w:tc>
          <w:tcPr>
            <w:tcW w:w="580" w:type="dxa"/>
            <w:vAlign w:val="bottom"/>
          </w:tcPr>
          <w:p>
            <w:pPr>
              <w:jc w:val="right"/>
              <w:spacing w:after="0"/>
              <w:rPr>
                <w:sz w:val="20"/>
                <w:szCs w:val="20"/>
                <w:color w:val="auto"/>
              </w:rPr>
            </w:pPr>
            <w:r>
              <w:rPr>
                <w:rFonts w:ascii="Arial" w:cs="Arial" w:eastAsia="Arial" w:hAnsi="Arial"/>
                <w:sz w:val="14"/>
                <w:szCs w:val="14"/>
                <w:color w:val="auto"/>
              </w:rPr>
              <w:t>5,800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28,143</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29,175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34,975</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11,232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23,743</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Pine Lake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10,991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17,836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13,566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Pine Tree Plaza</w:t>
            </w:r>
          </w:p>
        </w:tc>
        <w:tc>
          <w:tcPr>
            <w:tcW w:w="580" w:type="dxa"/>
            <w:vAlign w:val="bottom"/>
          </w:tcPr>
          <w:p>
            <w:pPr>
              <w:jc w:val="right"/>
              <w:spacing w:after="0"/>
              <w:rPr>
                <w:sz w:val="20"/>
                <w:szCs w:val="20"/>
                <w:color w:val="auto"/>
              </w:rPr>
            </w:pPr>
            <w:r>
              <w:rPr>
                <w:rFonts w:ascii="Arial" w:cs="Arial" w:eastAsia="Arial" w:hAnsi="Arial"/>
                <w:sz w:val="14"/>
                <w:szCs w:val="14"/>
                <w:color w:val="auto"/>
              </w:rPr>
              <w:t>668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6,220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6,375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7,043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4,545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Plaza Hermosa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10,109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14,909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11,199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13,800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Powell Street Plaza</w:t>
            </w:r>
          </w:p>
        </w:tc>
        <w:tc>
          <w:tcPr>
            <w:tcW w:w="580" w:type="dxa"/>
            <w:vAlign w:val="bottom"/>
          </w:tcPr>
          <w:p>
            <w:pPr>
              <w:jc w:val="right"/>
              <w:spacing w:after="0"/>
              <w:rPr>
                <w:sz w:val="20"/>
                <w:szCs w:val="20"/>
                <w:color w:val="auto"/>
              </w:rPr>
            </w:pPr>
            <w:r>
              <w:rPr>
                <w:rFonts w:ascii="Arial" w:cs="Arial" w:eastAsia="Arial" w:hAnsi="Arial"/>
                <w:sz w:val="14"/>
                <w:szCs w:val="14"/>
                <w:color w:val="auto"/>
              </w:rPr>
              <w:t>8,248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30,716</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8,248</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32,152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40,400</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9,343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31,057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Powers Ferry Square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17,965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21,065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9,575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16,580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Powers Ferry Village</w:t>
            </w:r>
          </w:p>
        </w:tc>
        <w:tc>
          <w:tcPr>
            <w:tcW w:w="580" w:type="dxa"/>
            <w:vAlign w:val="bottom"/>
          </w:tcPr>
          <w:p>
            <w:pPr>
              <w:jc w:val="right"/>
              <w:spacing w:after="0"/>
              <w:rPr>
                <w:sz w:val="20"/>
                <w:szCs w:val="20"/>
                <w:color w:val="auto"/>
              </w:rPr>
            </w:pPr>
            <w:r>
              <w:rPr>
                <w:rFonts w:ascii="Arial" w:cs="Arial" w:eastAsia="Arial" w:hAnsi="Arial"/>
                <w:sz w:val="14"/>
                <w:szCs w:val="14"/>
                <w:color w:val="auto"/>
              </w:rPr>
              <w:t>1,191</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4,672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4,908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6,099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Prairie City Crossing</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13,032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13,398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17,562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Prestonbrook</w:t>
            </w:r>
          </w:p>
        </w:tc>
        <w:tc>
          <w:tcPr>
            <w:tcW w:w="580" w:type="dxa"/>
            <w:vAlign w:val="bottom"/>
          </w:tcPr>
          <w:p>
            <w:pPr>
              <w:jc w:val="right"/>
              <w:spacing w:after="0"/>
              <w:rPr>
                <w:sz w:val="20"/>
                <w:szCs w:val="20"/>
                <w:color w:val="auto"/>
              </w:rPr>
            </w:pPr>
            <w:r>
              <w:rPr>
                <w:rFonts w:ascii="Arial" w:cs="Arial" w:eastAsia="Arial" w:hAnsi="Arial"/>
                <w:sz w:val="14"/>
                <w:szCs w:val="14"/>
                <w:color w:val="auto"/>
              </w:rPr>
              <w:t>7,069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8,622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7,069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8,737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15,806</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4,946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10,860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6,800</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Red Bank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10,336</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9,505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18,692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Regency Commons</w:t>
            </w:r>
          </w:p>
        </w:tc>
        <w:tc>
          <w:tcPr>
            <w:tcW w:w="580" w:type="dxa"/>
            <w:vAlign w:val="bottom"/>
          </w:tcPr>
          <w:p>
            <w:pPr>
              <w:jc w:val="right"/>
              <w:spacing w:after="0"/>
              <w:rPr>
                <w:sz w:val="20"/>
                <w:szCs w:val="20"/>
                <w:color w:val="auto"/>
              </w:rPr>
            </w:pPr>
            <w:r>
              <w:rPr>
                <w:rFonts w:ascii="Arial" w:cs="Arial" w:eastAsia="Arial" w:hAnsi="Arial"/>
                <w:sz w:val="14"/>
                <w:szCs w:val="14"/>
                <w:color w:val="auto"/>
              </w:rPr>
              <w:t>3,917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3,616</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3,917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3,659</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7,576</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6,121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Regency Solar (Saugus)</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Regency Square</w:t>
            </w:r>
          </w:p>
        </w:tc>
        <w:tc>
          <w:tcPr>
            <w:tcW w:w="580" w:type="dxa"/>
            <w:vAlign w:val="bottom"/>
          </w:tcPr>
          <w:p>
            <w:pPr>
              <w:jc w:val="right"/>
              <w:spacing w:after="0"/>
              <w:rPr>
                <w:sz w:val="20"/>
                <w:szCs w:val="20"/>
                <w:color w:val="auto"/>
              </w:rPr>
            </w:pPr>
            <w:r>
              <w:rPr>
                <w:rFonts w:ascii="Arial" w:cs="Arial" w:eastAsia="Arial" w:hAnsi="Arial"/>
                <w:sz w:val="14"/>
                <w:szCs w:val="14"/>
                <w:color w:val="auto"/>
              </w:rPr>
              <w:t>4,770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25,191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2,741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4,777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27,925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32,702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17,753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14,949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Rockwall Town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5,140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9,530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Rona Plaza</w:t>
            </w:r>
          </w:p>
        </w:tc>
        <w:tc>
          <w:tcPr>
            <w:tcW w:w="580" w:type="dxa"/>
            <w:vAlign w:val="bottom"/>
          </w:tcPr>
          <w:p>
            <w:pPr>
              <w:jc w:val="right"/>
              <w:spacing w:after="0"/>
              <w:rPr>
                <w:sz w:val="20"/>
                <w:szCs w:val="20"/>
                <w:color w:val="auto"/>
              </w:rPr>
            </w:pPr>
            <w:r>
              <w:rPr>
                <w:rFonts w:ascii="Arial" w:cs="Arial" w:eastAsia="Arial" w:hAnsi="Arial"/>
                <w:sz w:val="14"/>
                <w:szCs w:val="14"/>
                <w:color w:val="auto"/>
              </w:rPr>
              <w:t>1,500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4,917</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5,035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6,535</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4,435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Russell Ridge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6,903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Sammamish</w:t>
            </w:r>
          </w:p>
        </w:tc>
        <w:tc>
          <w:tcPr>
            <w:tcW w:w="580" w:type="dxa"/>
            <w:vAlign w:val="bottom"/>
          </w:tcPr>
          <w:p>
            <w:pPr>
              <w:jc w:val="right"/>
              <w:spacing w:after="0"/>
              <w:rPr>
                <w:sz w:val="20"/>
                <w:szCs w:val="20"/>
                <w:color w:val="auto"/>
              </w:rPr>
            </w:pPr>
            <w:r>
              <w:rPr>
                <w:rFonts w:ascii="Arial" w:cs="Arial" w:eastAsia="Arial" w:hAnsi="Arial"/>
                <w:sz w:val="14"/>
                <w:szCs w:val="14"/>
                <w:color w:val="auto"/>
              </w:rPr>
              <w:t>9,300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8,075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8,843</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18,143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3,162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14,981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San Leandro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8,226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Sandy Springs</w:t>
            </w:r>
          </w:p>
        </w:tc>
        <w:tc>
          <w:tcPr>
            <w:tcW w:w="580" w:type="dxa"/>
            <w:vAlign w:val="bottom"/>
          </w:tcPr>
          <w:p>
            <w:pPr>
              <w:jc w:val="right"/>
              <w:spacing w:after="0"/>
              <w:rPr>
                <w:sz w:val="20"/>
                <w:szCs w:val="20"/>
                <w:color w:val="auto"/>
              </w:rPr>
            </w:pPr>
            <w:r>
              <w:rPr>
                <w:rFonts w:ascii="Arial" w:cs="Arial" w:eastAsia="Arial" w:hAnsi="Arial"/>
                <w:sz w:val="14"/>
                <w:szCs w:val="14"/>
                <w:color w:val="auto"/>
              </w:rPr>
              <w:t>6,889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28,056</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6,889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28,056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34,945</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34,857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17,624</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Saugus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17,984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17,250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36,055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32,479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Seminole Shoppes</w:t>
            </w:r>
          </w:p>
        </w:tc>
        <w:tc>
          <w:tcPr>
            <w:tcW w:w="580" w:type="dxa"/>
            <w:vAlign w:val="bottom"/>
          </w:tcPr>
          <w:p>
            <w:pPr>
              <w:jc w:val="right"/>
              <w:spacing w:after="0"/>
              <w:rPr>
                <w:sz w:val="20"/>
                <w:szCs w:val="20"/>
                <w:color w:val="auto"/>
              </w:rPr>
            </w:pPr>
            <w:r>
              <w:rPr>
                <w:rFonts w:ascii="Arial" w:cs="Arial" w:eastAsia="Arial" w:hAnsi="Arial"/>
                <w:sz w:val="14"/>
                <w:szCs w:val="14"/>
                <w:color w:val="auto"/>
              </w:rPr>
              <w:t>8,593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7,523</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8,629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7,540</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16,169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15,451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Sequoia Station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18,356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19,379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28,479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21,731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21,100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Sherwood II</w:t>
            </w:r>
          </w:p>
        </w:tc>
        <w:tc>
          <w:tcPr>
            <w:tcW w:w="580" w:type="dxa"/>
            <w:vAlign w:val="bottom"/>
          </w:tcPr>
          <w:p>
            <w:pPr>
              <w:jc w:val="right"/>
              <w:spacing w:after="0"/>
              <w:rPr>
                <w:sz w:val="20"/>
                <w:szCs w:val="20"/>
                <w:color w:val="auto"/>
              </w:rPr>
            </w:pPr>
            <w:r>
              <w:rPr>
                <w:rFonts w:ascii="Arial" w:cs="Arial" w:eastAsia="Arial" w:hAnsi="Arial"/>
                <w:sz w:val="14"/>
                <w:szCs w:val="14"/>
                <w:color w:val="auto"/>
              </w:rPr>
              <w:t>2,731</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6,360</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2,731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6,350</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9,081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7,350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Sherwood Market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16,362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13,668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47"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REGENCY CENTERS CORPORATION AND 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 - Consolidated Real Estate and Accumulated Depreciation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4"/>
              </w:rPr>
              <w:t>Initial Cost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Total Cost</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Cost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Capitalized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Properties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Mortgages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Improvements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Acquisition </w:t>
            </w:r>
            <w:r>
              <w:rPr>
                <w:rFonts w:ascii="Arial" w:cs="Arial" w:eastAsia="Arial" w:hAnsi="Arial"/>
                <w:sz w:val="8"/>
                <w:szCs w:val="8"/>
                <w:b w:val="1"/>
                <w:bCs w:val="1"/>
                <w:color w:val="auto"/>
                <w:w w:val="95"/>
              </w:rPr>
              <w:t>(2)</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Improvements</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Shoppes @ 104</w:t>
            </w:r>
          </w:p>
        </w:tc>
        <w:tc>
          <w:tcPr>
            <w:tcW w:w="580" w:type="dxa"/>
            <w:vAlign w:val="bottom"/>
          </w:tcPr>
          <w:p>
            <w:pPr>
              <w:jc w:val="right"/>
              <w:spacing w:after="0"/>
              <w:rPr>
                <w:sz w:val="20"/>
                <w:szCs w:val="20"/>
                <w:color w:val="auto"/>
              </w:rPr>
            </w:pPr>
            <w:r>
              <w:rPr>
                <w:rFonts w:ascii="Arial" w:cs="Arial" w:eastAsia="Arial" w:hAnsi="Arial"/>
                <w:sz w:val="14"/>
                <w:szCs w:val="14"/>
                <w:color w:val="auto"/>
              </w:rPr>
              <w:t>11,193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6,652</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4,540</w:t>
            </w:r>
          </w:p>
        </w:tc>
        <w:tc>
          <w:tcPr>
            <w:tcW w:w="1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11,192</w:t>
            </w:r>
          </w:p>
        </w:tc>
        <w:tc>
          <w:tcPr>
            <w:tcW w:w="1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10,519</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Shoppes at Fairhope</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11,198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18,250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Shoppes of Grande Oak</w:t>
            </w:r>
          </w:p>
        </w:tc>
        <w:tc>
          <w:tcPr>
            <w:tcW w:w="580" w:type="dxa"/>
            <w:vAlign w:val="bottom"/>
          </w:tcPr>
          <w:p>
            <w:pPr>
              <w:jc w:val="right"/>
              <w:spacing w:after="0"/>
              <w:rPr>
                <w:sz w:val="20"/>
                <w:szCs w:val="20"/>
                <w:color w:val="auto"/>
              </w:rPr>
            </w:pPr>
            <w:r>
              <w:rPr>
                <w:rFonts w:ascii="Arial" w:cs="Arial" w:eastAsia="Arial" w:hAnsi="Arial"/>
                <w:sz w:val="14"/>
                <w:szCs w:val="14"/>
                <w:color w:val="auto"/>
              </w:rPr>
              <w:t>5,091</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5,985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5,091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6,107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11,198</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3,289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7,909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Shops at Arizona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3,243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Shops at County Center</w:t>
            </w:r>
          </w:p>
        </w:tc>
        <w:tc>
          <w:tcPr>
            <w:tcW w:w="580" w:type="dxa"/>
            <w:vAlign w:val="bottom"/>
          </w:tcPr>
          <w:p>
            <w:pPr>
              <w:jc w:val="right"/>
              <w:spacing w:after="0"/>
              <w:rPr>
                <w:sz w:val="20"/>
                <w:szCs w:val="20"/>
                <w:color w:val="auto"/>
              </w:rPr>
            </w:pPr>
            <w:r>
              <w:rPr>
                <w:rFonts w:ascii="Arial" w:cs="Arial" w:eastAsia="Arial" w:hAnsi="Arial"/>
                <w:sz w:val="14"/>
                <w:szCs w:val="14"/>
                <w:color w:val="auto"/>
              </w:rPr>
              <w:t>9,957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11,269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10,160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11,388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21,548</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3,894</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17,654</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Shops at Erwin Mill</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Shops at Johns Creek</w:t>
            </w:r>
          </w:p>
        </w:tc>
        <w:tc>
          <w:tcPr>
            <w:tcW w:w="580" w:type="dxa"/>
            <w:vAlign w:val="bottom"/>
          </w:tcPr>
          <w:p>
            <w:pPr>
              <w:jc w:val="right"/>
              <w:spacing w:after="0"/>
              <w:rPr>
                <w:sz w:val="20"/>
                <w:szCs w:val="20"/>
                <w:color w:val="auto"/>
              </w:rPr>
            </w:pPr>
            <w:r>
              <w:rPr>
                <w:rFonts w:ascii="Arial" w:cs="Arial" w:eastAsia="Arial" w:hAnsi="Arial"/>
                <w:sz w:val="14"/>
                <w:szCs w:val="14"/>
                <w:color w:val="auto"/>
              </w:rPr>
              <w:t>1,863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3,569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Shops at Quail Creek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7,717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Signature Plaza</w:t>
            </w:r>
          </w:p>
        </w:tc>
        <w:tc>
          <w:tcPr>
            <w:tcW w:w="580" w:type="dxa"/>
            <w:vAlign w:val="bottom"/>
          </w:tcPr>
          <w:p>
            <w:pPr>
              <w:jc w:val="right"/>
              <w:spacing w:after="0"/>
              <w:rPr>
                <w:sz w:val="20"/>
                <w:szCs w:val="20"/>
                <w:color w:val="auto"/>
              </w:rPr>
            </w:pPr>
            <w:r>
              <w:rPr>
                <w:rFonts w:ascii="Arial" w:cs="Arial" w:eastAsia="Arial" w:hAnsi="Arial"/>
                <w:sz w:val="14"/>
                <w:szCs w:val="14"/>
                <w:color w:val="auto"/>
              </w:rPr>
              <w:t>2,396</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3,898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2,396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4,142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6,538</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4,677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South Bay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15,580</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15,580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27,294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26,950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South Lowry Square</w:t>
            </w:r>
          </w:p>
        </w:tc>
        <w:tc>
          <w:tcPr>
            <w:tcW w:w="580" w:type="dxa"/>
            <w:vAlign w:val="bottom"/>
          </w:tcPr>
          <w:p>
            <w:pPr>
              <w:jc w:val="right"/>
              <w:spacing w:after="0"/>
              <w:rPr>
                <w:sz w:val="20"/>
                <w:szCs w:val="20"/>
                <w:color w:val="auto"/>
              </w:rPr>
            </w:pPr>
            <w:r>
              <w:rPr>
                <w:rFonts w:ascii="Arial" w:cs="Arial" w:eastAsia="Arial" w:hAnsi="Arial"/>
                <w:sz w:val="14"/>
                <w:szCs w:val="14"/>
                <w:color w:val="auto"/>
              </w:rPr>
              <w:t>3,434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10,445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3,434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11,217</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14,651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10,615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Southcenter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12,750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13,537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14,837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SouthPoint Crossing</w:t>
            </w:r>
          </w:p>
        </w:tc>
        <w:tc>
          <w:tcPr>
            <w:tcW w:w="580" w:type="dxa"/>
            <w:vAlign w:val="bottom"/>
          </w:tcPr>
          <w:p>
            <w:pPr>
              <w:jc w:val="right"/>
              <w:spacing w:after="0"/>
              <w:rPr>
                <w:sz w:val="20"/>
                <w:szCs w:val="20"/>
                <w:color w:val="auto"/>
              </w:rPr>
            </w:pPr>
            <w:r>
              <w:rPr>
                <w:rFonts w:ascii="Arial" w:cs="Arial" w:eastAsia="Arial" w:hAnsi="Arial"/>
                <w:sz w:val="14"/>
                <w:szCs w:val="14"/>
                <w:color w:val="auto"/>
              </w:rPr>
              <w:t>4,412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12,235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4,412</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12,445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16,857</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4,494</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12,363</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Starke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1,683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State Street Crossing</w:t>
            </w:r>
          </w:p>
        </w:tc>
        <w:tc>
          <w:tcPr>
            <w:tcW w:w="580" w:type="dxa"/>
            <w:vAlign w:val="bottom"/>
          </w:tcPr>
          <w:p>
            <w:pPr>
              <w:jc w:val="right"/>
              <w:spacing w:after="0"/>
              <w:rPr>
                <w:sz w:val="20"/>
                <w:szCs w:val="20"/>
                <w:color w:val="auto"/>
              </w:rPr>
            </w:pPr>
            <w:r>
              <w:rPr>
                <w:rFonts w:ascii="Arial" w:cs="Arial" w:eastAsia="Arial" w:hAnsi="Arial"/>
                <w:sz w:val="14"/>
                <w:szCs w:val="14"/>
                <w:color w:val="auto"/>
              </w:rPr>
              <w:t>1,283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3,286</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3,089</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Sterling Ridge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12,846</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12,162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12,846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12,594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25,440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19,294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Stonewall</w:t>
            </w:r>
          </w:p>
        </w:tc>
        <w:tc>
          <w:tcPr>
            <w:tcW w:w="580" w:type="dxa"/>
            <w:vAlign w:val="bottom"/>
          </w:tcPr>
          <w:p>
            <w:pPr>
              <w:jc w:val="right"/>
              <w:spacing w:after="0"/>
              <w:rPr>
                <w:sz w:val="20"/>
                <w:szCs w:val="20"/>
                <w:color w:val="auto"/>
              </w:rPr>
            </w:pPr>
            <w:r>
              <w:rPr>
                <w:rFonts w:ascii="Arial" w:cs="Arial" w:eastAsia="Arial" w:hAnsi="Arial"/>
                <w:sz w:val="14"/>
                <w:szCs w:val="14"/>
                <w:color w:val="auto"/>
              </w:rPr>
              <w:t>27,511</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22,123</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5,267</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28,127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26,774</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54,901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6,736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48,165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Strawflower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8,084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Stroh Ranch</w:t>
            </w:r>
          </w:p>
        </w:tc>
        <w:tc>
          <w:tcPr>
            <w:tcW w:w="580" w:type="dxa"/>
            <w:vAlign w:val="bottom"/>
          </w:tcPr>
          <w:p>
            <w:pPr>
              <w:jc w:val="right"/>
              <w:spacing w:after="0"/>
              <w:rPr>
                <w:sz w:val="20"/>
                <w:szCs w:val="20"/>
                <w:color w:val="auto"/>
              </w:rPr>
            </w:pPr>
            <w:r>
              <w:rPr>
                <w:rFonts w:ascii="Arial" w:cs="Arial" w:eastAsia="Arial" w:hAnsi="Arial"/>
                <w:sz w:val="14"/>
                <w:szCs w:val="14"/>
                <w:color w:val="auto"/>
              </w:rPr>
              <w:t>4,280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8,189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4,280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8,439</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12,719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4,513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8,206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Suncoast Crossing</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5,545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19,830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17,653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Sunnyside 205</w:t>
            </w:r>
          </w:p>
        </w:tc>
        <w:tc>
          <w:tcPr>
            <w:tcW w:w="580" w:type="dxa"/>
            <w:vAlign w:val="bottom"/>
          </w:tcPr>
          <w:p>
            <w:pPr>
              <w:jc w:val="right"/>
              <w:spacing w:after="0"/>
              <w:rPr>
                <w:sz w:val="20"/>
                <w:szCs w:val="20"/>
                <w:color w:val="auto"/>
              </w:rPr>
            </w:pPr>
            <w:r>
              <w:rPr>
                <w:rFonts w:ascii="Arial" w:cs="Arial" w:eastAsia="Arial" w:hAnsi="Arial"/>
                <w:sz w:val="14"/>
                <w:szCs w:val="14"/>
                <w:color w:val="auto"/>
              </w:rPr>
              <w:t>1,200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9,459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10,705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11,905</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3,588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8,317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Tanasbourne Market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10,861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10,816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11,866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Tassajara Crossing</w:t>
            </w:r>
          </w:p>
        </w:tc>
        <w:tc>
          <w:tcPr>
            <w:tcW w:w="580" w:type="dxa"/>
            <w:vAlign w:val="bottom"/>
          </w:tcPr>
          <w:p>
            <w:pPr>
              <w:jc w:val="right"/>
              <w:spacing w:after="0"/>
              <w:rPr>
                <w:sz w:val="20"/>
                <w:szCs w:val="20"/>
                <w:color w:val="auto"/>
              </w:rPr>
            </w:pPr>
            <w:r>
              <w:rPr>
                <w:rFonts w:ascii="Arial" w:cs="Arial" w:eastAsia="Arial" w:hAnsi="Arial"/>
                <w:sz w:val="14"/>
                <w:szCs w:val="14"/>
                <w:color w:val="auto"/>
              </w:rPr>
              <w:t>8,560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15,464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8,560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15,852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24,412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18,623</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19,800</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Tech Ridge Center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37,169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12,945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37,231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50,176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48,176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11,888</w:t>
            </w:r>
          </w:p>
        </w:tc>
        <w:tc>
          <w:tcPr>
            <w:tcW w:w="0" w:type="dxa"/>
            <w:vAlign w:val="bottom"/>
          </w:tcPr>
          <w:p>
            <w:pPr>
              <w:spacing w:after="0"/>
              <w:rPr>
                <w:sz w:val="1"/>
                <w:szCs w:val="1"/>
                <w:color w:val="auto"/>
              </w:rPr>
            </w:pPr>
          </w:p>
        </w:tc>
      </w:tr>
      <w:tr>
        <w:trPr>
          <w:trHeight w:val="264"/>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Town Square</w:t>
            </w:r>
          </w:p>
        </w:tc>
        <w:tc>
          <w:tcPr>
            <w:tcW w:w="580" w:type="dxa"/>
            <w:vAlign w:val="bottom"/>
          </w:tcPr>
          <w:p>
            <w:pPr>
              <w:jc w:val="right"/>
              <w:spacing w:after="0"/>
              <w:rPr>
                <w:sz w:val="20"/>
                <w:szCs w:val="20"/>
                <w:color w:val="auto"/>
              </w:rPr>
            </w:pPr>
            <w:r>
              <w:rPr>
                <w:rFonts w:ascii="Arial" w:cs="Arial" w:eastAsia="Arial" w:hAnsi="Arial"/>
                <w:sz w:val="14"/>
                <w:szCs w:val="14"/>
                <w:color w:val="auto"/>
              </w:rPr>
              <w:t>883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8,132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8,368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9,251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5,637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Twin City Plaza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44,225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45,535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62,798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53,832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41,112</w:t>
            </w:r>
          </w:p>
        </w:tc>
        <w:tc>
          <w:tcPr>
            <w:tcW w:w="0" w:type="dxa"/>
            <w:vAlign w:val="bottom"/>
          </w:tcPr>
          <w:p>
            <w:pPr>
              <w:spacing w:after="0"/>
              <w:rPr>
                <w:sz w:val="1"/>
                <w:szCs w:val="1"/>
                <w:color w:val="auto"/>
              </w:rPr>
            </w:pPr>
          </w:p>
        </w:tc>
      </w:tr>
      <w:tr>
        <w:trPr>
          <w:trHeight w:val="264"/>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Twin Peaks</w:t>
            </w:r>
          </w:p>
        </w:tc>
        <w:tc>
          <w:tcPr>
            <w:tcW w:w="580" w:type="dxa"/>
            <w:vAlign w:val="bottom"/>
          </w:tcPr>
          <w:p>
            <w:pPr>
              <w:jc w:val="right"/>
              <w:spacing w:after="0"/>
              <w:rPr>
                <w:sz w:val="20"/>
                <w:szCs w:val="20"/>
                <w:color w:val="auto"/>
              </w:rPr>
            </w:pPr>
            <w:r>
              <w:rPr>
                <w:rFonts w:ascii="Arial" w:cs="Arial" w:eastAsia="Arial" w:hAnsi="Arial"/>
                <w:sz w:val="14"/>
                <w:szCs w:val="14"/>
                <w:color w:val="auto"/>
              </w:rPr>
              <w:t>5,200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26,220</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31,420</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9,363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22,057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Uptown District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18,773</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61,906</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18,773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61,906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80,679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80,525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Valencia Crossroads</w:t>
            </w:r>
          </w:p>
        </w:tc>
        <w:tc>
          <w:tcPr>
            <w:tcW w:w="580" w:type="dxa"/>
            <w:vAlign w:val="bottom"/>
          </w:tcPr>
          <w:p>
            <w:pPr>
              <w:jc w:val="right"/>
              <w:spacing w:after="0"/>
              <w:rPr>
                <w:sz w:val="20"/>
                <w:szCs w:val="20"/>
                <w:color w:val="auto"/>
              </w:rPr>
            </w:pPr>
            <w:r>
              <w:rPr>
                <w:rFonts w:ascii="Arial" w:cs="Arial" w:eastAsia="Arial" w:hAnsi="Arial"/>
                <w:sz w:val="14"/>
                <w:szCs w:val="14"/>
                <w:color w:val="auto"/>
              </w:rPr>
              <w:t>17,921</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17,659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17,921</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17,916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35,837</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11,090</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24,747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Ventura Village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6,648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Village at Lee Airpark</w:t>
            </w:r>
          </w:p>
        </w:tc>
        <w:tc>
          <w:tcPr>
            <w:tcW w:w="580" w:type="dxa"/>
            <w:vAlign w:val="bottom"/>
          </w:tcPr>
          <w:p>
            <w:pPr>
              <w:jc w:val="right"/>
              <w:spacing w:after="0"/>
              <w:rPr>
                <w:sz w:val="20"/>
                <w:szCs w:val="20"/>
                <w:color w:val="auto"/>
              </w:rPr>
            </w:pPr>
            <w:r>
              <w:rPr>
                <w:rFonts w:ascii="Arial" w:cs="Arial" w:eastAsia="Arial" w:hAnsi="Arial"/>
                <w:sz w:val="14"/>
                <w:szCs w:val="14"/>
                <w:color w:val="auto"/>
              </w:rPr>
              <w:t>11,099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12,955</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11,099</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12,955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24,054</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21,984</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47"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auto"/>
        </w:rPr>
        <w:t>REGENCY CENTERS CORPORATION AND 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 - Consolidated Real Estate and Accumulated Depreciation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Initial Cost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Total Cost</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89"/>
              </w:rPr>
              <w:t>Cost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Building &amp;</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Properties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Mortgages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Acquisition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Improvements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Village Center</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14,131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18,496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12,080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tcPr>
          <w:p>
            <w:pPr>
              <w:ind w:left="60"/>
              <w:spacing w:after="0"/>
              <w:rPr>
                <w:sz w:val="20"/>
                <w:szCs w:val="20"/>
                <w:color w:val="auto"/>
              </w:rPr>
            </w:pPr>
            <w:r>
              <w:rPr>
                <w:rFonts w:ascii="Arial" w:cs="Arial" w:eastAsia="Arial" w:hAnsi="Arial"/>
                <w:sz w:val="14"/>
                <w:szCs w:val="14"/>
                <w:color w:val="auto"/>
              </w:rPr>
              <w:t>Vine at Castaic</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4,799</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5,884</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(5,801)</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2,712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4,735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Vista Village IV</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tcPr>
          <w:p>
            <w:pPr>
              <w:ind w:left="60"/>
              <w:spacing w:after="0"/>
              <w:rPr>
                <w:sz w:val="20"/>
                <w:szCs w:val="20"/>
                <w:color w:val="auto"/>
              </w:rPr>
            </w:pPr>
            <w:r>
              <w:rPr>
                <w:rFonts w:ascii="Arial" w:cs="Arial" w:eastAsia="Arial" w:hAnsi="Arial"/>
                <w:sz w:val="14"/>
                <w:szCs w:val="14"/>
                <w:color w:val="auto"/>
              </w:rPr>
              <w:t>Walker Center</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3,840</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7,232</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10,038</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13,902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2,956</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10,946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Walton Towne Center</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tcPr>
          <w:p>
            <w:pPr>
              <w:ind w:left="60"/>
              <w:spacing w:after="0"/>
              <w:rPr>
                <w:sz w:val="20"/>
                <w:szCs w:val="20"/>
                <w:color w:val="auto"/>
              </w:rPr>
            </w:pPr>
            <w:r>
              <w:rPr>
                <w:rFonts w:ascii="Arial" w:cs="Arial" w:eastAsia="Arial" w:hAnsi="Arial"/>
                <w:sz w:val="14"/>
                <w:szCs w:val="14"/>
                <w:color w:val="auto"/>
              </w:rPr>
              <w:t>Welleby Plaza</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7,787</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8,241</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9,737</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5,049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4,688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Wellington Town Square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9,454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12,800</w:t>
            </w:r>
          </w:p>
        </w:tc>
        <w:tc>
          <w:tcPr>
            <w:tcW w:w="0" w:type="dxa"/>
            <w:vAlign w:val="bottom"/>
          </w:tcPr>
          <w:p>
            <w:pPr>
              <w:spacing w:after="0"/>
              <w:rPr>
                <w:sz w:val="1"/>
                <w:szCs w:val="1"/>
                <w:color w:val="auto"/>
              </w:rPr>
            </w:pPr>
          </w:p>
        </w:tc>
      </w:tr>
      <w:tr>
        <w:trPr>
          <w:trHeight w:val="264"/>
        </w:trPr>
        <w:tc>
          <w:tcPr>
            <w:tcW w:w="1720" w:type="dxa"/>
            <w:vAlign w:val="bottom"/>
            <w:gridSpan w:val="2"/>
          </w:tcPr>
          <w:p>
            <w:pPr>
              <w:ind w:left="60"/>
              <w:spacing w:after="0"/>
              <w:rPr>
                <w:sz w:val="20"/>
                <w:szCs w:val="20"/>
                <w:color w:val="auto"/>
              </w:rPr>
            </w:pPr>
            <w:r>
              <w:rPr>
                <w:rFonts w:ascii="Arial" w:cs="Arial" w:eastAsia="Arial" w:hAnsi="Arial"/>
                <w:sz w:val="14"/>
                <w:szCs w:val="14"/>
                <w:color w:val="auto"/>
              </w:rPr>
              <w:t>West Park Plaza</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5,840</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5,759</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5,840</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6,482</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12,322</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2,318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10,004</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Westbrook Commons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11,751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tcPr>
          <w:p>
            <w:pPr>
              <w:ind w:left="60"/>
              <w:spacing w:after="0"/>
              <w:rPr>
                <w:sz w:val="20"/>
                <w:szCs w:val="20"/>
                <w:color w:val="auto"/>
              </w:rPr>
            </w:pPr>
            <w:r>
              <w:rPr>
                <w:rFonts w:ascii="Arial" w:cs="Arial" w:eastAsia="Arial" w:hAnsi="Arial"/>
                <w:sz w:val="14"/>
                <w:szCs w:val="14"/>
                <w:color w:val="auto"/>
              </w:rPr>
              <w:t>Westchase</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5,302</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8,273</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5,302</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8,481</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13,783</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12,135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7,493</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Westchester Plaza</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2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Westlake Plaza and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7,043</w:t>
            </w:r>
          </w:p>
        </w:tc>
        <w:tc>
          <w:tcPr>
            <w:tcW w:w="1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27,195</w:t>
            </w:r>
          </w:p>
        </w:tc>
        <w:tc>
          <w:tcPr>
            <w:tcW w:w="1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7,043</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28,605</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35,648</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10,717</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24,931</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Westridge Village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tcPr>
          <w:p>
            <w:pPr>
              <w:ind w:left="60"/>
              <w:spacing w:after="0"/>
              <w:rPr>
                <w:sz w:val="20"/>
                <w:szCs w:val="20"/>
                <w:color w:val="auto"/>
              </w:rPr>
            </w:pPr>
            <w:r>
              <w:rPr>
                <w:rFonts w:ascii="Arial" w:cs="Arial" w:eastAsia="Arial" w:hAnsi="Arial"/>
                <w:sz w:val="14"/>
                <w:szCs w:val="14"/>
                <w:color w:val="auto"/>
              </w:rPr>
              <w:t>Westwood Village</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19,933</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25,301</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20,135</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25,416</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45,551</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6,084</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39,467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White Oak</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20" w:type="dxa"/>
            <w:vAlign w:val="bottom"/>
            <w:gridSpan w:val="2"/>
          </w:tcPr>
          <w:p>
            <w:pPr>
              <w:ind w:left="60"/>
              <w:spacing w:after="0"/>
              <w:rPr>
                <w:sz w:val="20"/>
                <w:szCs w:val="20"/>
                <w:color w:val="auto"/>
              </w:rPr>
            </w:pPr>
            <w:r>
              <w:rPr>
                <w:rFonts w:ascii="Arial" w:cs="Arial" w:eastAsia="Arial" w:hAnsi="Arial"/>
                <w:sz w:val="14"/>
                <w:szCs w:val="14"/>
                <w:color w:val="auto"/>
              </w:rPr>
              <w:t>Willow Festival</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56,501</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56,795</w:t>
            </w:r>
          </w:p>
        </w:tc>
        <w:tc>
          <w:tcPr>
            <w:tcW w:w="1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58,749</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54,977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40,710</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Windmiller Plaza Phase I</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10,478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2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Woodcroft Shopping</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6,284</w:t>
            </w:r>
          </w:p>
        </w:tc>
        <w:tc>
          <w:tcPr>
            <w:tcW w:w="1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6,582</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8,003</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2,967</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5,036</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Woodman Van Nuy</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7,361</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2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Woodmen and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gridSpan w:val="2"/>
          </w:tcPr>
          <w:p>
            <w:pPr>
              <w:ind w:left="40"/>
              <w:spacing w:after="0"/>
              <w:rPr>
                <w:sz w:val="20"/>
                <w:szCs w:val="20"/>
                <w:color w:val="auto"/>
              </w:rPr>
            </w:pPr>
            <w:r>
              <w:rPr>
                <w:rFonts w:ascii="Arial" w:cs="Arial" w:eastAsia="Arial" w:hAnsi="Arial"/>
                <w:sz w:val="14"/>
                <w:szCs w:val="14"/>
                <w:color w:val="auto"/>
              </w:rPr>
              <w:t>Rangewood</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7,621</w:t>
            </w:r>
          </w:p>
        </w:tc>
        <w:tc>
          <w:tcPr>
            <w:tcW w:w="1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11,018</w:t>
            </w:r>
          </w:p>
        </w:tc>
        <w:tc>
          <w:tcPr>
            <w:tcW w:w="1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7,621</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11,434</w:t>
            </w:r>
          </w:p>
        </w:tc>
        <w:tc>
          <w:tcPr>
            <w:tcW w:w="1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19,055</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7,819</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11,236</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Woodside Central</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9,288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Corporately Held Assets</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Properties in Development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1,078,886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(886,619)</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192,067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192,067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192,067</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1,264,741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3,491,039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(845,868)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3"/>
              </w:rPr>
              <w:t>1,215,659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2,694,253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3,909,912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782,749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3,127,163</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473,955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20" w:hanging="185"/>
        <w:spacing w:after="0"/>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See Item 2. Properties for geographic location and year each operating property was acquired.</w:t>
      </w:r>
    </w:p>
    <w:p>
      <w:pPr>
        <w:spacing w:after="0" w:line="55" w:lineRule="exact"/>
        <w:rPr>
          <w:rFonts w:ascii="Arial" w:cs="Arial" w:eastAsia="Arial" w:hAnsi="Arial"/>
          <w:sz w:val="22"/>
          <w:szCs w:val="22"/>
          <w:color w:val="auto"/>
          <w:vertAlign w:val="superscript"/>
        </w:rPr>
      </w:pPr>
    </w:p>
    <w:p>
      <w:pPr>
        <w:ind w:left="40" w:right="140" w:hanging="5"/>
        <w:spacing w:after="0" w:line="224" w:lineRule="auto"/>
        <w:tabs>
          <w:tab w:leader="none" w:pos="229" w:val="left"/>
        </w:tabs>
        <w:numPr>
          <w:ilvl w:val="0"/>
          <w:numId w:val="55"/>
        </w:numPr>
        <w:rPr>
          <w:rFonts w:ascii="Arial" w:cs="Arial" w:eastAsia="Arial" w:hAnsi="Arial"/>
          <w:sz w:val="23"/>
          <w:szCs w:val="23"/>
          <w:color w:val="auto"/>
          <w:vertAlign w:val="superscript"/>
        </w:rPr>
      </w:pPr>
      <w:r>
        <w:rPr>
          <w:rFonts w:ascii="Arial" w:cs="Arial" w:eastAsia="Arial" w:hAnsi="Arial"/>
          <w:sz w:val="17"/>
          <w:szCs w:val="17"/>
          <w:color w:val="auto"/>
        </w:rPr>
        <w:t>The negative balance for costs capitalized subsequent to acquisition could include out-parcels sold, provision for loss recorded and development transfers subsequent to the initial costs.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747" w:right="2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REGENCY CENTERS CORPORATION AND REGENCY CENTERS,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 - Consolidated Real Estate and Accumulated Depreciation,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Depreciation and amortization of the Company's investment in buildings and improvements reflected in the statements of operations is calculated over the estimated useful lives of the assets, which are up to 40 years. The aggregate cost for Federal income tax purposes was approximately $3.4 billion at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total real estate assets for the years ended December 31, 2012, 2011, and 2010 are as follows:</w:t>
      </w:r>
    </w:p>
    <w:p>
      <w:pPr>
        <w:spacing w:after="0" w:line="383"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4,101,912</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3,989,154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3,933,778</w:t>
            </w:r>
          </w:p>
        </w:tc>
      </w:tr>
      <w:tr>
        <w:trPr>
          <w:trHeight w:val="243"/>
        </w:trPr>
        <w:tc>
          <w:tcPr>
            <w:tcW w:w="3460" w:type="dxa"/>
            <w:vAlign w:val="bottom"/>
          </w:tcPr>
          <w:p>
            <w:pPr>
              <w:ind w:left="160"/>
              <w:spacing w:after="0"/>
              <w:rPr>
                <w:sz w:val="20"/>
                <w:szCs w:val="20"/>
                <w:color w:val="auto"/>
              </w:rPr>
            </w:pPr>
            <w:r>
              <w:rPr>
                <w:rFonts w:ascii="Arial" w:cs="Arial" w:eastAsia="Arial" w:hAnsi="Arial"/>
                <w:sz w:val="18"/>
                <w:szCs w:val="18"/>
                <w:color w:val="auto"/>
              </w:rPr>
              <w:t>Developed or acquired properties</w:t>
            </w:r>
          </w:p>
        </w:tc>
        <w:tc>
          <w:tcPr>
            <w:tcW w:w="300" w:type="dxa"/>
            <w:vAlign w:val="bottom"/>
          </w:tcPr>
          <w:p>
            <w:pPr>
              <w:spacing w:after="0"/>
              <w:rPr>
                <w:sz w:val="21"/>
                <w:szCs w:val="21"/>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324,142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198,836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93,759</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38,005</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21,727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18,772</w:t>
            </w:r>
          </w:p>
        </w:tc>
      </w:tr>
      <w:tr>
        <w:trPr>
          <w:trHeight w:val="243"/>
        </w:trPr>
        <w:tc>
          <w:tcPr>
            <w:tcW w:w="3460" w:type="dxa"/>
            <w:vAlign w:val="bottom"/>
          </w:tcPr>
          <w:p>
            <w:pPr>
              <w:ind w:left="160"/>
              <w:spacing w:after="0"/>
              <w:rPr>
                <w:sz w:val="20"/>
                <w:szCs w:val="20"/>
                <w:color w:val="auto"/>
              </w:rPr>
            </w:pPr>
            <w:r>
              <w:rPr>
                <w:rFonts w:ascii="Arial" w:cs="Arial" w:eastAsia="Arial" w:hAnsi="Arial"/>
                <w:sz w:val="18"/>
                <w:szCs w:val="18"/>
                <w:color w:val="auto"/>
              </w:rPr>
              <w:t>Sale of properties</w:t>
            </w:r>
          </w:p>
        </w:tc>
        <w:tc>
          <w:tcPr>
            <w:tcW w:w="30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(491,438)</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(92,872)</w:t>
            </w:r>
          </w:p>
        </w:tc>
        <w:tc>
          <w:tcPr>
            <w:tcW w:w="1060" w:type="dxa"/>
            <w:vAlign w:val="bottom"/>
          </w:tcPr>
          <w:p>
            <w:pPr>
              <w:jc w:val="right"/>
              <w:spacing w:after="0"/>
              <w:rPr>
                <w:sz w:val="20"/>
                <w:szCs w:val="20"/>
                <w:color w:val="auto"/>
              </w:rPr>
            </w:pPr>
            <w:r>
              <w:rPr>
                <w:rFonts w:ascii="Arial" w:cs="Arial" w:eastAsia="Arial" w:hAnsi="Arial"/>
                <w:sz w:val="18"/>
                <w:szCs w:val="18"/>
                <w:color w:val="auto"/>
              </w:rPr>
              <w:t>(14,503)</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impairment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(62,709)</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(14,933)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(42,652)</w:t>
            </w:r>
          </w:p>
        </w:tc>
      </w:tr>
      <w:tr>
        <w:trPr>
          <w:trHeight w:val="257"/>
        </w:trPr>
        <w:tc>
          <w:tcPr>
            <w:tcW w:w="346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3,909,912</w:t>
            </w:r>
          </w:p>
        </w:tc>
        <w:tc>
          <w:tcPr>
            <w:tcW w:w="12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4,101,912</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3,989,154</w:t>
            </w: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depreciation for the years ended December 31, 2012, 2011, and 2010 are as follows:</w:t>
      </w:r>
    </w:p>
    <w:p>
      <w:pPr>
        <w:spacing w:after="0" w:line="38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791,619</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700,878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622,163</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Depreciation for year</w:t>
            </w:r>
          </w:p>
        </w:tc>
        <w:tc>
          <w:tcPr>
            <w:tcW w:w="260" w:type="dxa"/>
            <w:vAlign w:val="bottom"/>
          </w:tcPr>
          <w:p>
            <w:pPr>
              <w:spacing w:after="0"/>
              <w:rPr>
                <w:sz w:val="21"/>
                <w:szCs w:val="21"/>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104,087</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107,932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99,554</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(104,748)</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(14,101)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Provision for impairment</w:t>
            </w:r>
          </w:p>
        </w:tc>
        <w:tc>
          <w:tcPr>
            <w:tcW w:w="26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(8,209)</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(3,090)</w:t>
            </w:r>
          </w:p>
        </w:tc>
        <w:tc>
          <w:tcPr>
            <w:tcW w:w="980" w:type="dxa"/>
            <w:vAlign w:val="bottom"/>
          </w:tcPr>
          <w:p>
            <w:pPr>
              <w:jc w:val="right"/>
              <w:spacing w:after="0"/>
              <w:rPr>
                <w:sz w:val="20"/>
                <w:szCs w:val="20"/>
                <w:color w:val="auto"/>
              </w:rPr>
            </w:pPr>
            <w:r>
              <w:rPr>
                <w:rFonts w:ascii="Arial" w:cs="Arial" w:eastAsia="Arial" w:hAnsi="Arial"/>
                <w:sz w:val="18"/>
                <w:szCs w:val="18"/>
                <w:color w:val="auto"/>
              </w:rPr>
              <w:t>(18,787)</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782,749</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791,619</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700,878</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 (Regency Centers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7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Under the supervision and with the participation of the Parent Company's management, including its chief executive officer and chief financial officer, the Parent Company conducted an evaluation of its disclosure controls and procedures, as such term is defined under Rule 13a-15(e) and 15d-15(e) promulgated under the Securities Exchange Act of 1934, as amended (the Exchange Act). Based on this evaluation, the Parent Company's chief executive officer and chief financial officer concluded that its disclosure controls and procedures were effective as of the end of the period covered by this annual report on Form 10-K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Parent Company in the reports it files or submits is accumulated and communicated to management, including its chief executive officer and chief financial officer, as appropriate, to allow timely decisions regarding required disclosure.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580" w:right="2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The Parent Company's management is responsible for establishing and maintaining adequate internal control over financial reporting, as such term is defined in Exchange Act Rules 13a-15(f) and 15d-15(f). Under the supervision and with the participation of its management, including its chief executive officer and chief financial officer, the Parent Company conducted an evaluation of the effectiveness of its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its evaluation 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the Parent Company's management concluded that its internal control over financial reporting was effective as of December 31, 2012.</w:t>
      </w:r>
    </w:p>
    <w:p>
      <w:pPr>
        <w:spacing w:after="0" w:line="13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KPMG LLP, an independent registered public accounting firm, has audited the consolidated financial statements included in this annual report on Form 10-K and, as part of their audit, has issued a report, included herein, on the effectiveness of the Parent Company's internal control over financial reporting.</w:t>
      </w:r>
    </w:p>
    <w:p>
      <w:pPr>
        <w:spacing w:after="0" w:line="7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The Parent Company's system of internal control over financial reporting was designed to provide reasonable assurance regarding the preparation and fair presentation of published financial statements in accordance with accounting principles generally accepted in the United States.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17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There have been no changes in the Parent Company's internal controls over financial reporting identified in connection with this evaluation that occurred during the fourth quarter of 2012 and that have materially affected, or are reasonably likely to materially affect, its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 (Regency Centers, 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7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Under the supervision and with the participation of the Operating Partnership's management, including the chief executive officer and chief financial officer of its general partner, the Operating Partnership conducted an evaluation of its disclosure controls and procedures, as such term is defined under Rule 13a-15(e) and 15d-15(e) promulgated under the Securities Exchange Act of 1934, as amended (the Exchange Act). Based on this evaluation, the chief executive officer and chief financial officer of its general partner concluded that its disclosure controls and procedures were effective as of the end of the period covered by this annual report on Form 10-K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Operating Partnership in the reports it files or submits is accumulated and communicated to management, including the chief executive officer and chief financial officer of its general partner,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The Operating Partnership's management is responsible for establishing and maintaining adequate internal control over financial reporting, as such term is defined in Exchange Act Rules 13a-15(f) and 15d-15(f). Under the supervision and with the participation of its management, including the chief executive officer and chief financial officer of its general partner, the Operating Partnership conducted an evaluation of the effectiveness of its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its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the Operating Partnership's management concluded that its internal control over financial reporting was effective as of December 31, 2012.</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a report, included herein, on the effectiveness of the Operating Partnership's internal control over financial reporting.</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Operating Partnership's system of internal control over financial reporting was designed to provide reasonable assurance regarding the preparation and fair presentation of published financial statements in accordance with accounting principles generally accepted in the United States. All internal control systems, no matter how well designed, have inherent limitations. Therefore, even those systems determined to be effective can provide only reasonable assurance and may not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814" w:right="279" w:bottom="1440" w:gutter="0" w:footer="0" w:header="0"/>
        </w:sectPr>
      </w:pPr>
    </w:p>
    <w:bookmarkStart w:id="130" w:name="page131"/>
    <w:bookmarkEnd w:id="130"/>
    <w:p>
      <w:pPr>
        <w:ind w:right="480"/>
        <w:spacing w:after="0" w:line="308" w:lineRule="auto"/>
        <w:rPr>
          <w:sz w:val="20"/>
          <w:szCs w:val="20"/>
          <w:color w:val="auto"/>
        </w:rPr>
      </w:pPr>
      <w:r>
        <w:rPr>
          <w:rFonts w:ascii="Arial" w:cs="Arial" w:eastAsia="Arial" w:hAnsi="Arial"/>
          <w:sz w:val="17"/>
          <w:szCs w:val="17"/>
          <w:color w:val="auto"/>
        </w:rPr>
        <w:t>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17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There have been no changes in the Operating Partnership's internal controls over financial reporting identified in connection with this evaluation that occurred during the fourth quarter of 2012 and that have materially affected, or are reasonably likely to materially affect, its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Information concerning the directors of Regency is incorporated herein by reference to Regency's definitive proxy statement to be filed with the Securities and Exchange Commission within 120 days after the end of the fiscal year covered by this Form 10-K with respect to its 2013 Annual Meeting of Stockholders.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regarding executive officers is included in Part I of this Form 10-K as permitted by General Instruction G(3).</w:t>
      </w:r>
    </w:p>
    <w:p>
      <w:pPr>
        <w:spacing w:after="0" w:line="225" w:lineRule="exact"/>
        <w:rPr>
          <w:sz w:val="20"/>
          <w:szCs w:val="20"/>
          <w:color w:val="auto"/>
        </w:rPr>
      </w:pPr>
    </w:p>
    <w:p>
      <w:pPr>
        <w:ind w:right="20" w:firstLine="648"/>
        <w:spacing w:after="0" w:line="221" w:lineRule="exact"/>
        <w:rPr>
          <w:sz w:val="20"/>
          <w:szCs w:val="20"/>
          <w:color w:val="auto"/>
        </w:rPr>
      </w:pPr>
      <w:r>
        <w:rPr>
          <w:rFonts w:ascii="Arial" w:cs="Arial" w:eastAsia="Arial" w:hAnsi="Arial"/>
          <w:sz w:val="18"/>
          <w:szCs w:val="18"/>
          <w:u w:val="single" w:color="auto"/>
          <w:color w:val="auto"/>
        </w:rPr>
        <w:t>Audit Committee, Independence, Financial Experts.</w:t>
      </w:r>
      <w:r>
        <w:rPr>
          <w:rFonts w:ascii="Arial" w:cs="Arial" w:eastAsia="Arial" w:hAnsi="Arial"/>
          <w:sz w:val="18"/>
          <w:szCs w:val="18"/>
          <w:color w:val="auto"/>
        </w:rPr>
        <w:t xml:space="preserve"> Incorporated herein by reference to Regency's definitive proxy statement to be filed with the Securities and Exchange Commission within 120 days after the end of the fiscal year covered by this Form 10</w:t>
      </w:r>
      <w:r>
        <w:rPr>
          <w:rFonts w:ascii="MS PGothic" w:cs="MS PGothic" w:eastAsia="MS PGothic" w:hAnsi="MS PGothic"/>
          <w:sz w:val="18"/>
          <w:szCs w:val="18"/>
          <w:color w:val="auto"/>
        </w:rPr>
        <w:t>‑</w:t>
      </w:r>
      <w:r>
        <w:rPr>
          <w:rFonts w:ascii="Arial" w:cs="Arial" w:eastAsia="Arial" w:hAnsi="Arial"/>
          <w:sz w:val="18"/>
          <w:szCs w:val="18"/>
          <w:color w:val="auto"/>
        </w:rPr>
        <w:t>K with respect to its 2013 Annual Meeting of Stockholders.</w:t>
      </w:r>
    </w:p>
    <w:p>
      <w:pPr>
        <w:spacing w:after="0" w:line="20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u w:val="single" w:color="auto"/>
          <w:color w:val="auto"/>
        </w:rPr>
        <w:t>Compliance with Section 16(a) of the Exchange Act</w:t>
      </w:r>
      <w:r>
        <w:rPr>
          <w:rFonts w:ascii="Arial" w:cs="Arial" w:eastAsia="Arial" w:hAnsi="Arial"/>
          <w:sz w:val="16"/>
          <w:szCs w:val="16"/>
          <w:color w:val="auto"/>
        </w:rPr>
        <w:t>. Information concerning filings under Section 16(a) of the Exchange Act by the directors or executive officers of Regency is incorporated herein by reference to Regency's definitive proxy statement to be filed with the Securities and Exchange Commission within 120 days after the end of the fiscal year covered by this Form 10-K with respect to its 2013 Annual Meeting of Stockholders.</w:t>
      </w:r>
    </w:p>
    <w:p>
      <w:pPr>
        <w:spacing w:after="0" w:line="147"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u w:val="single" w:color="auto"/>
          <w:color w:val="auto"/>
        </w:rPr>
        <w:t>Code of Ethics.</w:t>
      </w:r>
      <w:r>
        <w:rPr>
          <w:rFonts w:ascii="Arial" w:cs="Arial" w:eastAsia="Arial" w:hAnsi="Arial"/>
          <w:sz w:val="17"/>
          <w:szCs w:val="17"/>
          <w:color w:val="auto"/>
        </w:rPr>
        <w:t xml:space="preserve"> We have adopted a code of ethics applicable to our Board of Directors, principal executive officers, principal financial officer, principal accounting officer and persons performing similar functions. The text of this code of ethics may be found on our web site at www.regencycenters.com. We intend to post notice of any waiver from, or amendment to, any provision of our code of ethics on our web site.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herein by reference to Regency's definitive proxy statement to be filed with the Securities and Exchange Commission within 120 days after the end of the fiscal year covered by this Form 10-K with respect to its 2013 Annual Meeting of Stockholders.</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80"/>
          </w:cols>
          <w:pgMar w:left="240" w:top="746" w:right="379" w:bottom="1440" w:gutter="0" w:footer="0" w:header="0"/>
        </w:sectPr>
      </w:pPr>
    </w:p>
    <w:bookmarkStart w:id="131" w:name="page132"/>
    <w:bookmarkEnd w:id="131"/>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60" w:type="dxa"/>
            <w:vAlign w:val="bottom"/>
            <w:gridSpan w:val="5"/>
          </w:tcPr>
          <w:p>
            <w:pPr>
              <w:ind w:left="560"/>
              <w:spacing w:after="0"/>
              <w:rPr>
                <w:sz w:val="20"/>
                <w:szCs w:val="20"/>
                <w:color w:val="auto"/>
              </w:rPr>
            </w:pPr>
            <w:r>
              <w:rPr>
                <w:rFonts w:ascii="Arial" w:cs="Arial" w:eastAsia="Arial" w:hAnsi="Arial"/>
                <w:sz w:val="18"/>
                <w:szCs w:val="18"/>
                <w:b w:val="1"/>
                <w:bCs w:val="1"/>
                <w:color w:val="auto"/>
              </w:rPr>
              <w:t>Equity Compensation Plan Information</w:t>
            </w:r>
          </w:p>
        </w:tc>
        <w:tc>
          <w:tcPr>
            <w:tcW w:w="2400" w:type="dxa"/>
            <w:vAlign w:val="bottom"/>
          </w:tcPr>
          <w:p>
            <w:pPr>
              <w:spacing w:after="0"/>
              <w:rPr>
                <w:sz w:val="20"/>
                <w:szCs w:val="20"/>
                <w:color w:val="auto"/>
              </w:rPr>
            </w:pPr>
          </w:p>
        </w:tc>
      </w:tr>
      <w:tr>
        <w:trPr>
          <w:trHeight w:val="378"/>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4"/>
                <w:szCs w:val="24"/>
                <w:color w:val="auto"/>
              </w:rPr>
            </w:pPr>
          </w:p>
        </w:tc>
        <w:tc>
          <w:tcPr>
            <w:tcW w:w="24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(b)</w:t>
            </w:r>
          </w:p>
        </w:tc>
        <w:tc>
          <w:tcPr>
            <w:tcW w:w="240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438"/>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Number of securities remaining</w:t>
            </w:r>
          </w:p>
        </w:tc>
      </w:tr>
      <w:tr>
        <w:trPr>
          <w:trHeight w:val="216"/>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available for future issuance</w:t>
            </w:r>
          </w:p>
        </w:tc>
      </w:tr>
      <w:tr>
        <w:trPr>
          <w:trHeight w:val="216"/>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issued upon exercise of</w:t>
            </w:r>
          </w:p>
        </w:tc>
        <w:tc>
          <w:tcPr>
            <w:tcW w:w="120" w:type="dxa"/>
            <w:vAlign w:val="bottom"/>
          </w:tcPr>
          <w:p>
            <w:pPr>
              <w:spacing w:after="0"/>
              <w:rPr>
                <w:sz w:val="18"/>
                <w:szCs w:val="18"/>
                <w:color w:val="auto"/>
              </w:rPr>
            </w:pP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Weighted-average exercise</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under equity compensation</w:t>
            </w:r>
          </w:p>
        </w:tc>
      </w:tr>
      <w:tr>
        <w:trPr>
          <w:trHeight w:val="216"/>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outstanding options,</w:t>
            </w:r>
          </w:p>
        </w:tc>
        <w:tc>
          <w:tcPr>
            <w:tcW w:w="252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price of outstanding options,</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plans (excluding securities</w:t>
            </w:r>
          </w:p>
        </w:tc>
      </w:tr>
      <w:tr>
        <w:trPr>
          <w:trHeight w:val="257"/>
        </w:trPr>
        <w:tc>
          <w:tcPr>
            <w:tcW w:w="28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Plan Category</w:t>
            </w:r>
          </w:p>
        </w:tc>
        <w:tc>
          <w:tcPr>
            <w:tcW w:w="32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warrants and rights</w:t>
            </w: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center"/>
              <w:ind w:right="50"/>
              <w:spacing w:after="0" w:line="257" w:lineRule="exact"/>
              <w:rPr>
                <w:sz w:val="20"/>
                <w:szCs w:val="20"/>
                <w:color w:val="auto"/>
              </w:rPr>
            </w:pPr>
            <w:r>
              <w:rPr>
                <w:rFonts w:ascii="Arial" w:cs="Arial" w:eastAsia="Arial" w:hAnsi="Arial"/>
                <w:sz w:val="18"/>
                <w:szCs w:val="18"/>
                <w:color w:val="auto"/>
                <w:w w:val="87"/>
              </w:rPr>
              <w:t>warrants and rights</w:t>
            </w:r>
            <w:r>
              <w:rPr>
                <w:rFonts w:ascii="Arial" w:cs="Arial" w:eastAsia="Arial" w:hAnsi="Arial"/>
                <w:sz w:val="25"/>
                <w:szCs w:val="25"/>
                <w:color w:val="auto"/>
                <w:w w:val="87"/>
                <w:vertAlign w:val="superscript"/>
              </w:rPr>
              <w:t>(1)</w:t>
            </w:r>
          </w:p>
        </w:tc>
        <w:tc>
          <w:tcPr>
            <w:tcW w:w="3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90"/>
              </w:rPr>
              <w:t xml:space="preserve">reflected in column </w:t>
            </w:r>
            <w:r>
              <w:rPr>
                <w:rFonts w:ascii="Arial" w:cs="Arial" w:eastAsia="Arial" w:hAnsi="Arial"/>
                <w:sz w:val="25"/>
                <w:szCs w:val="25"/>
                <w:color w:val="auto"/>
                <w:w w:val="90"/>
                <w:vertAlign w:val="superscript"/>
              </w:rPr>
              <w:t>(2)</w:t>
            </w: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w:t>
            </w:r>
          </w:p>
        </w:tc>
        <w:tc>
          <w:tcPr>
            <w:tcW w:w="2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315,924</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w:t>
            </w:r>
          </w:p>
        </w:tc>
        <w:tc>
          <w:tcPr>
            <w:tcW w:w="3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3,058,399</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approved by security holders</w:t>
            </w: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2400" w:type="dxa"/>
            <w:vAlign w:val="bottom"/>
            <w:gridSpan w:val="2"/>
          </w:tcPr>
          <w:p>
            <w:pPr>
              <w:jc w:val="center"/>
              <w:ind w:right="440"/>
              <w:spacing w:after="0"/>
              <w:rPr>
                <w:sz w:val="20"/>
                <w:szCs w:val="20"/>
                <w:color w:val="auto"/>
              </w:rPr>
            </w:pPr>
            <w:r>
              <w:rPr>
                <w:rFonts w:ascii="Arial" w:cs="Arial" w:eastAsia="Arial" w:hAnsi="Arial"/>
                <w:sz w:val="18"/>
                <w:szCs w:val="18"/>
                <w:color w:val="auto"/>
              </w:rPr>
              <w:t>N/A</w:t>
            </w:r>
          </w:p>
        </w:tc>
        <w:tc>
          <w:tcPr>
            <w:tcW w:w="24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315,924</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52.39</w:t>
            </w:r>
          </w:p>
        </w:tc>
        <w:tc>
          <w:tcPr>
            <w:tcW w:w="3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3,058,399</w:t>
            </w: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840" w:hanging="184"/>
        <w:spacing w:after="0"/>
        <w:tabs>
          <w:tab w:leader="none" w:pos="8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The weighted average exercise price excludes stock rights awards, which we sometimes refer to as unvested restricted stock.</w:t>
      </w:r>
    </w:p>
    <w:p>
      <w:pPr>
        <w:spacing w:after="0" w:line="201" w:lineRule="exact"/>
        <w:rPr>
          <w:rFonts w:ascii="Arial" w:cs="Arial" w:eastAsia="Arial" w:hAnsi="Arial"/>
          <w:sz w:val="22"/>
          <w:szCs w:val="22"/>
          <w:color w:val="auto"/>
          <w:vertAlign w:val="superscript"/>
        </w:rPr>
      </w:pPr>
    </w:p>
    <w:p>
      <w:pPr>
        <w:ind w:left="660" w:right="360" w:hanging="4"/>
        <w:spacing w:after="0" w:line="252" w:lineRule="auto"/>
        <w:tabs>
          <w:tab w:leader="none" w:pos="838"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The Regency Centers Corporation 2011 Omnibus Incentive Plan, (“Omnibus Plan”), as approved by stockholders at our 2011 annual meeting, provides that an aggregate maximum of 4.1 million shares of our common stock are reserved for issuance under the Omnibus Plan.</w:t>
      </w:r>
    </w:p>
    <w:p>
      <w:pPr>
        <w:spacing w:after="0" w:line="189"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Information about security ownership is incorporated herein by reference to Regency's definitive proxy statement to be filed with the Securities and Exchange Commission within 120 days after the end of the fiscal year covered by this Form 10-K with respect to its 2013 Annual Meeting of Stockholders.</w:t>
      </w:r>
    </w:p>
    <w:p>
      <w:pPr>
        <w:spacing w:after="0" w:line="1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Incorporated herein by reference to Regency's definitive proxy statement to be filed with the Securities and Exchange Commission within 120 days after the end of the fiscal year covered by this Form 10-K with respect to its 2013 Annual Meeting of Stockholders.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Incorporated herein by reference to Regency's definitive proxy statement to be filed with the Securities and Exchange Commission within 120 days after the end of the fiscal year covered by this Form 10-K with respect to its 2013 Annual Meeting of Stockholders.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Statements and Financial Statement Schedules:</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Regency Centers Corporation and Regency Centers, L.P. 2012 financial statements and financial statement schedule, together with the reports of KPMG LLP are listed on the index immediately preceding the financial statements in Item 8, Consolidated Financial Statements and Supplemental Data.</w:t>
      </w:r>
    </w:p>
    <w:p>
      <w:pPr>
        <w:spacing w:after="0" w:line="18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In reviewing the agreements included as exhibits to this report, please remember they are included to provide you with information regarding their terms and are not intended to provide any other factual or disclosure information about the Company, its subsidiaries or other parties to the agreements. The Agreements contain representations and warranties by each of the parties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012" w:right="2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i w:val="1"/>
          <w:iCs w:val="1"/>
          <w:color w:val="auto"/>
        </w:rPr>
        <w:t>to the applicable agreement. These representations and warranties have been made solely for the benefit of the other parties to the applicable agreement and:</w:t>
      </w:r>
    </w:p>
    <w:p>
      <w:pPr>
        <w:spacing w:after="0" w:line="248" w:lineRule="exact"/>
        <w:rPr>
          <w:sz w:val="20"/>
          <w:szCs w:val="20"/>
          <w:color w:val="auto"/>
        </w:rPr>
      </w:pPr>
    </w:p>
    <w:p>
      <w:pPr>
        <w:ind w:left="1300" w:hanging="320"/>
        <w:spacing w:after="0" w:line="258"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should not in all instances be treated as categorical statements of fact, but rather as a way of allocating the risk to one of the parties if those statements prove to be inaccurate;</w:t>
      </w:r>
    </w:p>
    <w:p>
      <w:pPr>
        <w:spacing w:after="0" w:line="1" w:lineRule="exact"/>
        <w:rPr>
          <w:rFonts w:ascii="Arial" w:cs="Arial" w:eastAsia="Arial" w:hAnsi="Arial"/>
          <w:sz w:val="18"/>
          <w:szCs w:val="18"/>
          <w:color w:val="auto"/>
        </w:rPr>
      </w:pPr>
    </w:p>
    <w:p>
      <w:pPr>
        <w:ind w:left="1300" w:right="120" w:hanging="320"/>
        <w:spacing w:after="0" w:line="250"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have been qualified by disclosures that were made to the other party in connection with the negotiation of the applicable agreement, which disclosures are not necessarily reflected in the agreement;</w:t>
      </w: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may apply standards of materiality in a way that is different from what may be viewed as material to you or other investors; and</w:t>
      </w:r>
    </w:p>
    <w:p>
      <w:pPr>
        <w:spacing w:after="0" w:line="9" w:lineRule="exact"/>
        <w:rPr>
          <w:rFonts w:ascii="Arial" w:cs="Arial" w:eastAsia="Arial" w:hAnsi="Arial"/>
          <w:sz w:val="18"/>
          <w:szCs w:val="18"/>
          <w:color w:val="auto"/>
        </w:rPr>
      </w:pPr>
    </w:p>
    <w:p>
      <w:pPr>
        <w:ind w:left="1300" w:right="80" w:hanging="320"/>
        <w:spacing w:after="0" w:line="261"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were made only as of the date of the applicable agreement or such other date or dates as may be specified in the agreement and are subject to more recent developments.</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Accordingly, these representations and warranties may not describe the actual state of affairs as of the date they were made or at any other time. We acknowledge that, notwithstanding the inclusion of the foregoing cautionary statements, we are responsible for considering whether additional specific disclosures of material information regarding material contractual provisions are required to make the statements in this report not misleading. Additional information about the Company may be found elsewhere in this report and the Company's other public files, which are available without charge through the SEC's website at </w:t>
      </w:r>
      <w:r>
        <w:rPr>
          <w:rFonts w:ascii="Arial" w:cs="Arial" w:eastAsia="Arial" w:hAnsi="Arial"/>
          <w:sz w:val="18"/>
          <w:szCs w:val="18"/>
          <w:i w:val="1"/>
          <w:iCs w:val="1"/>
          <w:u w:val="single" w:color="auto"/>
          <w:color w:val="0000FF"/>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Unless otherwise indicated below, the Commission file number to the exhibit is No. 001-12298.</w:t>
      </w:r>
    </w:p>
    <w:p>
      <w:pPr>
        <w:spacing w:after="0" w:line="18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Underwriting Agreement</w:t>
      </w:r>
    </w:p>
    <w:p>
      <w:pPr>
        <w:spacing w:after="0" w:line="225" w:lineRule="exact"/>
        <w:rPr>
          <w:rFonts w:ascii="Arial" w:cs="Arial" w:eastAsia="Arial" w:hAnsi="Arial"/>
          <w:sz w:val="18"/>
          <w:szCs w:val="18"/>
          <w:color w:val="auto"/>
        </w:rPr>
      </w:pPr>
    </w:p>
    <w:p>
      <w:pPr>
        <w:ind w:left="1300" w:right="42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Equity Distribution Agreement (the “Wells Agreement”) among the Company, Regency Centers, L.P. and Wells Fargo Securities, LLC dated August 10, 2012 (incorporated by reference to Exhibit 1.1 to the Company's report on Form 8-K filed on August 10, 2012).</w:t>
      </w:r>
    </w:p>
    <w:p>
      <w:pPr>
        <w:spacing w:after="0" w:line="123" w:lineRule="exact"/>
        <w:rPr>
          <w:rFonts w:ascii="Arial" w:cs="Arial" w:eastAsia="Arial" w:hAnsi="Arial"/>
          <w:sz w:val="16"/>
          <w:szCs w:val="16"/>
          <w:color w:val="auto"/>
        </w:rPr>
      </w:pPr>
    </w:p>
    <w:p>
      <w:pPr>
        <w:ind w:left="1300" w:right="220"/>
        <w:spacing w:after="0" w:line="264" w:lineRule="auto"/>
        <w:rPr>
          <w:rFonts w:ascii="Arial" w:cs="Arial" w:eastAsia="Arial" w:hAnsi="Arial"/>
          <w:sz w:val="16"/>
          <w:szCs w:val="16"/>
          <w:color w:val="auto"/>
        </w:rPr>
      </w:pPr>
      <w:r>
        <w:rPr>
          <w:rFonts w:ascii="Arial" w:cs="Arial" w:eastAsia="Arial" w:hAnsi="Arial"/>
          <w:sz w:val="18"/>
          <w:szCs w:val="18"/>
          <w:color w:val="auto"/>
        </w:rPr>
        <w:t>The Equity Distribution Agreements listed below are substantially identical in all material respects to the Wells Agreement except for the identities of the parties, and have not been filed as exhibits to the Company's 1934 Act reports pursuant to Instruction 2 to Item 601 of Regulation S-K:</w:t>
      </w:r>
    </w:p>
    <w:p>
      <w:pPr>
        <w:spacing w:after="0" w:line="181" w:lineRule="exact"/>
        <w:rPr>
          <w:rFonts w:ascii="Arial" w:cs="Arial" w:eastAsia="Arial" w:hAnsi="Arial"/>
          <w:sz w:val="16"/>
          <w:szCs w:val="16"/>
          <w:color w:val="auto"/>
        </w:rPr>
      </w:pPr>
    </w:p>
    <w:p>
      <w:pPr>
        <w:ind w:left="1960" w:right="860" w:hanging="655"/>
        <w:spacing w:after="0" w:line="277"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Equity Distribution Agreement among the Company, Regency Centers, L.P. and Merrill Lynch, Pierce, Fenner &amp; Smith Incorporated dated August 10, 2012; and</w:t>
      </w:r>
    </w:p>
    <w:p>
      <w:pPr>
        <w:spacing w:after="0" w:line="170" w:lineRule="exact"/>
        <w:rPr>
          <w:rFonts w:ascii="Arial" w:cs="Arial" w:eastAsia="Arial" w:hAnsi="Arial"/>
          <w:sz w:val="18"/>
          <w:szCs w:val="18"/>
          <w:color w:val="auto"/>
        </w:rPr>
      </w:pPr>
    </w:p>
    <w:p>
      <w:pPr>
        <w:ind w:left="1960" w:right="400" w:hanging="655"/>
        <w:spacing w:after="0" w:line="277"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Equity Distribution Agreement among the Company, Regency Centers, L.P. and J.P. Morgan Securities LLC dated August 10, 2012.</w:t>
      </w:r>
    </w:p>
    <w:p>
      <w:pPr>
        <w:spacing w:after="0" w:line="170"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184" w:lineRule="exact"/>
        <w:rPr>
          <w:rFonts w:ascii="Arial" w:cs="Arial" w:eastAsia="Arial" w:hAnsi="Arial"/>
          <w:sz w:val="18"/>
          <w:szCs w:val="18"/>
          <w:color w:val="auto"/>
        </w:rPr>
      </w:pPr>
    </w:p>
    <w:p>
      <w:pPr>
        <w:ind w:left="1300" w:right="240" w:hanging="644"/>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Restated Articles of Incorporation of Regency Centers Corporation (incorporated by reference to Exhibit 3.1 to the Company's Form 8-K filed on February 19, 2008).</w:t>
      </w:r>
    </w:p>
    <w:p>
      <w:pPr>
        <w:spacing w:after="0" w:line="129" w:lineRule="exact"/>
        <w:rPr>
          <w:rFonts w:ascii="Arial" w:cs="Arial" w:eastAsia="Arial" w:hAnsi="Arial"/>
          <w:sz w:val="18"/>
          <w:szCs w:val="18"/>
          <w:color w:val="auto"/>
        </w:rPr>
      </w:pPr>
    </w:p>
    <w:p>
      <w:pPr>
        <w:ind w:left="1960" w:right="380" w:hanging="655"/>
        <w:spacing w:after="0" w:line="308" w:lineRule="auto"/>
        <w:tabs>
          <w:tab w:leader="none" w:pos="1960" w:val="left"/>
        </w:tabs>
        <w:numPr>
          <w:ilvl w:val="2"/>
          <w:numId w:val="59"/>
        </w:numPr>
        <w:rPr>
          <w:rFonts w:ascii="Arial" w:cs="Arial" w:eastAsia="Arial" w:hAnsi="Arial"/>
          <w:sz w:val="17"/>
          <w:szCs w:val="17"/>
          <w:color w:val="auto"/>
        </w:rPr>
      </w:pPr>
      <w:r>
        <w:rPr>
          <w:rFonts w:ascii="Arial" w:cs="Arial" w:eastAsia="Arial" w:hAnsi="Arial"/>
          <w:sz w:val="17"/>
          <w:szCs w:val="17"/>
          <w:color w:val="auto"/>
        </w:rPr>
        <w:t>Amendment designating the preferences, rights and limitations of 10,000,000 shares of 6.625% Series 6 Cumulative Preferred Stock (incorporated by reference to Exhibit 3.2 to the Company's Form 8-A filed on February 14, 2012).</w:t>
      </w:r>
    </w:p>
    <w:p>
      <w:pPr>
        <w:spacing w:after="0" w:line="106" w:lineRule="exact"/>
        <w:rPr>
          <w:rFonts w:ascii="Arial" w:cs="Arial" w:eastAsia="Arial" w:hAnsi="Arial"/>
          <w:sz w:val="17"/>
          <w:szCs w:val="17"/>
          <w:color w:val="auto"/>
        </w:rPr>
      </w:pPr>
    </w:p>
    <w:p>
      <w:pPr>
        <w:ind w:left="1960" w:right="200" w:hanging="655"/>
        <w:spacing w:after="0" w:line="308" w:lineRule="auto"/>
        <w:tabs>
          <w:tab w:leader="none" w:pos="1960" w:val="left"/>
        </w:tabs>
        <w:numPr>
          <w:ilvl w:val="2"/>
          <w:numId w:val="59"/>
        </w:numPr>
        <w:rPr>
          <w:rFonts w:ascii="Arial" w:cs="Arial" w:eastAsia="Arial" w:hAnsi="Arial"/>
          <w:sz w:val="17"/>
          <w:szCs w:val="17"/>
          <w:color w:val="auto"/>
        </w:rPr>
      </w:pPr>
      <w:r>
        <w:rPr>
          <w:rFonts w:ascii="Arial" w:cs="Arial" w:eastAsia="Arial" w:hAnsi="Arial"/>
          <w:sz w:val="17"/>
          <w:szCs w:val="17"/>
          <w:color w:val="auto"/>
        </w:rPr>
        <w:t>Amendment designating the preferences, rights and limitations of 3,000,000 shares of 6.0% Series 7 Cumulative Preferred Stock (incorporated by reference to Exhibit 3.1 to the Company's report on Form 8-K filed on August 16, 2012).</w:t>
      </w:r>
    </w:p>
    <w:p>
      <w:pPr>
        <w:spacing w:after="0" w:line="106" w:lineRule="exact"/>
        <w:rPr>
          <w:rFonts w:ascii="Arial" w:cs="Arial" w:eastAsia="Arial" w:hAnsi="Arial"/>
          <w:sz w:val="17"/>
          <w:szCs w:val="17"/>
          <w:color w:val="auto"/>
        </w:rPr>
      </w:pPr>
    </w:p>
    <w:p>
      <w:pPr>
        <w:ind w:left="1300" w:right="240" w:hanging="644"/>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Amended and Restated Bylaws of Regency Centers Corporation (incorporated by reference to Exhibit 3.2(b) to the Company's Form 8-K filed on November 7, 2008).</w:t>
      </w:r>
    </w:p>
    <w:p>
      <w:pPr>
        <w:spacing w:after="0" w:line="129" w:lineRule="exact"/>
        <w:rPr>
          <w:rFonts w:ascii="Arial" w:cs="Arial" w:eastAsia="Arial" w:hAnsi="Arial"/>
          <w:sz w:val="18"/>
          <w:szCs w:val="18"/>
          <w:color w:val="auto"/>
        </w:rPr>
      </w:pPr>
    </w:p>
    <w:p>
      <w:pPr>
        <w:ind w:left="1300" w:right="380" w:hanging="644"/>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Fourth Amended and Restated Certificate of Limited Partnership of Regency Centers, L.P. (incorporated by reference to Exhibit 3(a) to Regency Centers, L.P.'s Form 10-K filed on March 17, 2009).</w:t>
      </w:r>
    </w:p>
    <w:p>
      <w:pPr>
        <w:spacing w:after="0" w:line="129" w:lineRule="exact"/>
        <w:rPr>
          <w:rFonts w:ascii="Arial" w:cs="Arial" w:eastAsia="Arial" w:hAnsi="Arial"/>
          <w:sz w:val="18"/>
          <w:szCs w:val="18"/>
          <w:color w:val="auto"/>
        </w:rPr>
      </w:pPr>
    </w:p>
    <w:p>
      <w:pPr>
        <w:ind w:left="1300" w:right="500" w:hanging="644"/>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Fourth Amended and Restated Agreement of Limited Partnership of Regency Centers, L.P., as amended (incorporated by reference to Exhibit 10(m) to the Company's Form 10-K filed on March 12, 2004).</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84" w:right="239" w:bottom="1440" w:gutter="0" w:footer="0" w:header="0"/>
        </w:sectPr>
      </w:pPr>
    </w:p>
    <w:bookmarkStart w:id="133" w:name="page134"/>
    <w:bookmarkEnd w:id="133"/>
    <w:p>
      <w:pPr>
        <w:ind w:left="1960" w:right="100" w:hanging="655"/>
        <w:spacing w:after="0" w:line="264" w:lineRule="auto"/>
        <w:tabs>
          <w:tab w:leader="none" w:pos="19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Amendment to Fourth Amended and Restated Agreement of Limited Partnership relating to 6.625% Series 6 Cumulative Redeemable Preferred Units (incorporated by reference to Exhibit 3.2 to the Company's report on Form 8-K filed on February 16, 2012).</w:t>
      </w:r>
    </w:p>
    <w:p>
      <w:pPr>
        <w:spacing w:after="0" w:line="140" w:lineRule="exact"/>
        <w:rPr>
          <w:rFonts w:ascii="Arial" w:cs="Arial" w:eastAsia="Arial" w:hAnsi="Arial"/>
          <w:sz w:val="18"/>
          <w:szCs w:val="18"/>
          <w:color w:val="auto"/>
        </w:rPr>
      </w:pPr>
    </w:p>
    <w:p>
      <w:pPr>
        <w:ind w:left="1960" w:right="240" w:hanging="655"/>
        <w:spacing w:after="0" w:line="264" w:lineRule="auto"/>
        <w:tabs>
          <w:tab w:leader="none" w:pos="19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Amendment to Fourth Amended and Restated Agreement of Limited Partnership relating to 6.0% Series 7 Cumulative Redeemable Preferred Units (incorporated by reference to Exhibit 3.2 to the Company's report on Form 8-K filed on August 16, 2012).</w:t>
      </w:r>
    </w:p>
    <w:p>
      <w:pPr>
        <w:spacing w:after="0" w:line="140"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Instruments Defining Rights of Security Holders</w:t>
      </w:r>
    </w:p>
    <w:p>
      <w:pPr>
        <w:spacing w:after="0" w:line="184" w:lineRule="exact"/>
        <w:rPr>
          <w:rFonts w:ascii="Arial" w:cs="Arial" w:eastAsia="Arial" w:hAnsi="Arial"/>
          <w:sz w:val="18"/>
          <w:szCs w:val="18"/>
          <w:color w:val="auto"/>
        </w:rPr>
      </w:pPr>
    </w:p>
    <w:p>
      <w:pPr>
        <w:ind w:left="1300" w:right="600" w:hanging="644"/>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See Exhibits 3(a) and 3(b) for provisions of the Articles of Incorporation and Bylaws of the Company defining the rights of security holders. See Exhibit 3(d) for provisions of the Partnership Agreement of Regency Centers, L.P. defining rights of security holders.</w:t>
      </w:r>
    </w:p>
    <w:p>
      <w:pPr>
        <w:spacing w:after="0" w:line="83" w:lineRule="exact"/>
        <w:rPr>
          <w:rFonts w:ascii="Arial" w:cs="Arial" w:eastAsia="Arial" w:hAnsi="Arial"/>
          <w:sz w:val="16"/>
          <w:szCs w:val="16"/>
          <w:color w:val="auto"/>
        </w:rPr>
      </w:pPr>
    </w:p>
    <w:p>
      <w:pPr>
        <w:ind w:left="1300" w:right="100" w:hanging="644"/>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Indenture dated December 5, 2001 between Regency Centers, L.P., the guarantors named therein and First Union National Bank, as trustee (incorporated by reference to Exhibit 4.4 to Regency Centers, L.P.'s Form 8-K filed on December 10, 2001).</w:t>
      </w:r>
    </w:p>
    <w:p>
      <w:pPr>
        <w:spacing w:after="0" w:line="129" w:lineRule="exact"/>
        <w:rPr>
          <w:rFonts w:ascii="Arial" w:cs="Arial" w:eastAsia="Arial" w:hAnsi="Arial"/>
          <w:sz w:val="18"/>
          <w:szCs w:val="18"/>
          <w:color w:val="auto"/>
        </w:rPr>
      </w:pPr>
    </w:p>
    <w:p>
      <w:pPr>
        <w:ind w:left="2600" w:right="80" w:hanging="647"/>
        <w:spacing w:after="0" w:line="259" w:lineRule="auto"/>
        <w:tabs>
          <w:tab w:leader="none" w:pos="2600" w:val="left"/>
        </w:tabs>
        <w:numPr>
          <w:ilvl w:val="3"/>
          <w:numId w:val="61"/>
        </w:numPr>
        <w:rPr>
          <w:rFonts w:ascii="Arial" w:cs="Arial" w:eastAsia="Arial" w:hAnsi="Arial"/>
          <w:sz w:val="18"/>
          <w:szCs w:val="18"/>
          <w:color w:val="auto"/>
        </w:rPr>
      </w:pPr>
      <w:r>
        <w:rPr>
          <w:rFonts w:ascii="Arial" w:cs="Arial" w:eastAsia="Arial" w:hAnsi="Arial"/>
          <w:sz w:val="18"/>
          <w:szCs w:val="18"/>
          <w:color w:val="auto"/>
        </w:rPr>
        <w:t>First Supplemental Indenture dated as of June 5, 2007 among Regency Centers, L.P., the Company as guarantor and U.S. Bank National Association, as successor to Wachovia Bank, National Association (formerly known as First Union National Bank), as trustee (incorporated by reference to Exhibit 4.1 to Regency Centers, L.P.'s Form 8-K filed on June 5, 2007).</w:t>
      </w:r>
    </w:p>
    <w:p>
      <w:pPr>
        <w:spacing w:after="0" w:line="186"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Indenture dated July 18, 2005 between Regency Centers, L.P., the guarantors named therein and Wachovia Bank, National Bank, as trustee (incorporated by reference to Exhibit 4.1 to Regency Centers, L.P's registration statement on Form S-4 filed on August 5, 2005, No. 333-127274).</w:t>
      </w:r>
    </w:p>
    <w:p>
      <w:pPr>
        <w:spacing w:after="0" w:line="1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Material Contracts (~ indicates management contract or compensatory plan)</w:t>
      </w:r>
    </w:p>
    <w:p>
      <w:pPr>
        <w:sectPr>
          <w:pgSz w:w="11900" w:h="16838" w:orient="portrait"/>
          <w:cols w:equalWidth="0" w:num="1">
            <w:col w:w="11400"/>
          </w:cols>
          <w:pgMar w:left="240" w:top="584" w:right="259" w:bottom="1440" w:gutter="0" w:footer="0" w:header="0"/>
        </w:sectPr>
      </w:pP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Regency Centers Corporation Long Term Omnibus Plan (incorporated by reference to Exhibit 10.9 to the Company's Form 10-Q filed on May 8, 2008).</w:t>
      </w:r>
    </w:p>
    <w:p>
      <w:pPr>
        <w:spacing w:after="0" w:line="130" w:lineRule="exact"/>
        <w:rPr>
          <w:sz w:val="20"/>
          <w:szCs w:val="20"/>
          <w:color w:val="auto"/>
        </w:rPr>
      </w:pPr>
    </w:p>
    <w:p>
      <w:pPr>
        <w:sectPr>
          <w:pgSz w:w="11900" w:h="16838" w:orient="portrait"/>
          <w:cols w:equalWidth="0" w:num="2">
            <w:col w:w="960" w:space="340"/>
            <w:col w:w="10100"/>
          </w:cols>
          <w:pgMar w:left="240" w:top="584" w:right="259" w:bottom="1440" w:gutter="0" w:footer="0" w:header="0"/>
          <w:type w:val="continuous"/>
        </w:sectPr>
      </w:pPr>
    </w:p>
    <w:p>
      <w:pPr>
        <w:ind w:left="196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Form of Stock Rights Award Agreement pursuant to the Company's Long Term Omnibus Plan (incorporated by reference to Exhibit 10(b) to the Company's Form 10-K filed on March 10, 2006).</w:t>
      </w:r>
    </w:p>
    <w:p>
      <w:pPr>
        <w:spacing w:after="0" w:line="170" w:lineRule="exact"/>
        <w:rPr>
          <w:sz w:val="20"/>
          <w:szCs w:val="20"/>
          <w:color w:val="auto"/>
        </w:rPr>
      </w:pPr>
    </w:p>
    <w:p>
      <w:pPr>
        <w:sectPr>
          <w:pgSz w:w="11900" w:h="16838" w:orient="portrait"/>
          <w:cols w:equalWidth="0" w:num="2">
            <w:col w:w="2220" w:space="380"/>
            <w:col w:w="8800"/>
          </w:cols>
          <w:pgMar w:left="240" w:top="584" w:right="25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Form of 409A Amendment to Stock Rights Award Agreement (incorporated by reference to Exhibit 10(b)(i) to the Company's Form 10-K filed on March on 17, 2009).</w:t>
      </w:r>
    </w:p>
    <w:p>
      <w:pPr>
        <w:spacing w:after="0" w:line="170" w:lineRule="exact"/>
        <w:rPr>
          <w:sz w:val="20"/>
          <w:szCs w:val="20"/>
          <w:color w:val="auto"/>
        </w:rPr>
      </w:pPr>
    </w:p>
    <w:p>
      <w:pPr>
        <w:sectPr>
          <w:pgSz w:w="11900" w:h="16838" w:orient="portrait"/>
          <w:cols w:equalWidth="0" w:num="2">
            <w:col w:w="2280" w:space="320"/>
            <w:col w:w="8800"/>
          </w:cols>
          <w:pgMar w:left="240" w:top="584" w:right="25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Form of Nonqualified Stock Option Agreement pursuant to the Company's Long Term Omnibus Plan (incorporated by reference to Exhibit 10(c) to the Company's Form 10-K filed on March 10, 2006).</w:t>
      </w:r>
    </w:p>
    <w:p>
      <w:pPr>
        <w:spacing w:after="0" w:line="170" w:lineRule="exact"/>
        <w:rPr>
          <w:sz w:val="20"/>
          <w:szCs w:val="20"/>
          <w:color w:val="auto"/>
        </w:rPr>
      </w:pPr>
    </w:p>
    <w:p>
      <w:pPr>
        <w:sectPr>
          <w:pgSz w:w="11900" w:h="16838" w:orient="portrait"/>
          <w:cols w:equalWidth="0" w:num="2">
            <w:col w:w="2320" w:space="280"/>
            <w:col w:w="8800"/>
          </w:cols>
          <w:pgMar w:left="240" w:top="584" w:right="25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Form of 409A Amendment to Stock Option Agreement (incorporated by reference to Exhibit 10(c)(i) to the Company's Form 10-K filed on March 17, 2009).</w:t>
      </w:r>
    </w:p>
    <w:p>
      <w:pPr>
        <w:spacing w:after="0" w:line="170" w:lineRule="exact"/>
        <w:rPr>
          <w:sz w:val="20"/>
          <w:szCs w:val="20"/>
          <w:color w:val="auto"/>
        </w:rPr>
      </w:pPr>
    </w:p>
    <w:p>
      <w:pPr>
        <w:sectPr>
          <w:pgSz w:w="11900" w:h="16838" w:orient="portrait"/>
          <w:cols w:equalWidth="0" w:num="2">
            <w:col w:w="2320" w:space="280"/>
            <w:col w:w="8800"/>
          </w:cols>
          <w:pgMar w:left="240" w:top="584" w:right="259" w:bottom="1440" w:gutter="0" w:footer="0" w:header="0"/>
          <w:type w:val="continuous"/>
        </w:sectPr>
      </w:pPr>
    </w:p>
    <w:p>
      <w:pPr>
        <w:ind w:left="1960"/>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Amended and Restated Deferred Compensation Plan dated May 6, 2003 (incorporated by reference to Exhibit 10(k) to the Company's Form 10-K filed on March 12, 2004).</w:t>
      </w:r>
    </w:p>
    <w:p>
      <w:pPr>
        <w:spacing w:after="0" w:line="170" w:lineRule="exact"/>
        <w:rPr>
          <w:sz w:val="20"/>
          <w:szCs w:val="20"/>
          <w:color w:val="auto"/>
        </w:rPr>
      </w:pPr>
    </w:p>
    <w:p>
      <w:pPr>
        <w:sectPr>
          <w:pgSz w:w="11900" w:h="16838" w:orient="portrait"/>
          <w:cols w:equalWidth="0" w:num="2">
            <w:col w:w="2260" w:space="340"/>
            <w:col w:w="8800"/>
          </w:cols>
          <w:pgMar w:left="240" w:top="584" w:right="25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Regency Centers Corporation 2005 Deferred Compensation Plan (incorporated by reference to Exhibit 10(s) to the Company's Form 8-K filed on December 21, 2004).</w:t>
      </w:r>
    </w:p>
    <w:p>
      <w:pPr>
        <w:spacing w:after="0" w:line="200" w:lineRule="exact"/>
        <w:rPr>
          <w:sz w:val="20"/>
          <w:szCs w:val="20"/>
          <w:color w:val="auto"/>
        </w:rPr>
      </w:pPr>
    </w:p>
    <w:p>
      <w:pPr>
        <w:sectPr>
          <w:pgSz w:w="11900" w:h="16838" w:orient="portrait"/>
          <w:cols w:equalWidth="0" w:num="2">
            <w:col w:w="2320" w:space="280"/>
            <w:col w:w="8800"/>
          </w:cols>
          <w:pgMar w:left="240" w:top="584" w:right="25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00"/>
          </w:cols>
          <w:pgMar w:left="240" w:top="584" w:right="259" w:bottom="1440" w:gutter="0" w:footer="0" w:header="0"/>
          <w:type w:val="continuous"/>
        </w:sectPr>
      </w:pPr>
    </w:p>
    <w:bookmarkStart w:id="134" w:name="page135"/>
    <w:bookmarkEnd w:id="134"/>
    <w:p>
      <w:pPr>
        <w:ind w:left="1304"/>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First Amendment to Regency Centers Corporation 2005 Deferred Compensation Plan dated December 2005 (incorporated by reference to Exhibit 10(q)(i) to the Company's Form 10-K filed on March 10, 2006).</w:t>
      </w:r>
    </w:p>
    <w:p>
      <w:pPr>
        <w:spacing w:after="0" w:line="170" w:lineRule="exact"/>
        <w:rPr>
          <w:sz w:val="20"/>
          <w:szCs w:val="20"/>
          <w:color w:val="auto"/>
        </w:rPr>
      </w:pPr>
    </w:p>
    <w:p>
      <w:pPr>
        <w:sectPr>
          <w:pgSz w:w="11900" w:h="16838" w:orient="portrait"/>
          <w:cols w:equalWidth="0" w:num="2">
            <w:col w:w="1704" w:space="240"/>
            <w:col w:w="8820"/>
          </w:cols>
          <w:pgMar w:left="896" w:top="584" w:right="239" w:bottom="1440" w:gutter="0" w:footer="0" w:header="0"/>
        </w:sectPr>
      </w:pPr>
    </w:p>
    <w:p>
      <w:pPr>
        <w:ind w:left="1304"/>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br w:type="column"/>
      </w:r>
    </w:p>
    <w:p>
      <w:pPr>
        <w:ind w:right="880"/>
        <w:spacing w:after="0" w:line="342" w:lineRule="auto"/>
        <w:rPr>
          <w:sz w:val="20"/>
          <w:szCs w:val="20"/>
          <w:color w:val="auto"/>
        </w:rPr>
      </w:pPr>
      <w:r>
        <w:rPr>
          <w:rFonts w:ascii="Arial" w:cs="Arial" w:eastAsia="Arial" w:hAnsi="Arial"/>
          <w:sz w:val="16"/>
          <w:szCs w:val="16"/>
          <w:color w:val="auto"/>
        </w:rPr>
        <w:t>Second Amendment to the Regency Centers Corporation Amended and Restated Deferred Compensation Plan (incorporated by reference to Exhibit 10.2 to the Company's Form 8-K filed on June 13, 2011).</w:t>
      </w:r>
    </w:p>
    <w:p>
      <w:pPr>
        <w:spacing w:after="0" w:line="124" w:lineRule="exact"/>
        <w:rPr>
          <w:sz w:val="20"/>
          <w:szCs w:val="20"/>
          <w:color w:val="auto"/>
        </w:rPr>
      </w:pPr>
    </w:p>
    <w:p>
      <w:pPr>
        <w:sectPr>
          <w:pgSz w:w="11900" w:h="16838" w:orient="portrait"/>
          <w:cols w:equalWidth="0" w:num="2">
            <w:col w:w="1764" w:space="180"/>
            <w:col w:w="8820"/>
          </w:cols>
          <w:pgMar w:left="896" w:top="584" w:right="239" w:bottom="1440" w:gutter="0" w:footer="0" w:header="0"/>
          <w:type w:val="continuous"/>
        </w:sectPr>
      </w:pPr>
    </w:p>
    <w:p>
      <w:pPr>
        <w:ind w:left="1304"/>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Third Amendment to the Regency Centers Corporation 2005 Deferred Compensation Plan (incorporated by reference to Exhibit 10.1 to the Company's Form 8-K filed on June 13, 2011).</w:t>
      </w:r>
    </w:p>
    <w:p>
      <w:pPr>
        <w:spacing w:after="0" w:line="170" w:lineRule="exact"/>
        <w:rPr>
          <w:sz w:val="20"/>
          <w:szCs w:val="20"/>
          <w:color w:val="auto"/>
        </w:rPr>
      </w:pPr>
    </w:p>
    <w:p>
      <w:pPr>
        <w:sectPr>
          <w:pgSz w:w="11900" w:h="16838" w:orient="portrait"/>
          <w:cols w:equalWidth="0" w:num="2">
            <w:col w:w="1664" w:space="280"/>
            <w:col w:w="8820"/>
          </w:cols>
          <w:pgMar w:left="896" w:top="584" w:right="2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Regency Centers Corporation 2011 Omnibus Plan (incorporated by reference to Annex A to the Company's 2011 Annual Meeting Proxy Statement filed on March 24, 2011).</w:t>
      </w:r>
    </w:p>
    <w:p>
      <w:pPr>
        <w:spacing w:after="0" w:line="130" w:lineRule="exact"/>
        <w:rPr>
          <w:sz w:val="20"/>
          <w:szCs w:val="20"/>
          <w:color w:val="auto"/>
        </w:rPr>
      </w:pPr>
    </w:p>
    <w:p>
      <w:pPr>
        <w:sectPr>
          <w:pgSz w:w="11900" w:h="16838" w:orient="portrait"/>
          <w:cols w:equalWidth="0" w:num="2">
            <w:col w:w="304" w:space="340"/>
            <w:col w:w="10120"/>
          </w:cols>
          <w:pgMar w:left="896" w:top="584" w:right="2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Form of Director/Officer Indemnification Agreement (filed as an Exhibit to Pre-effective Amendment No. 2 to the Company's registration statement on Form S-11 filed on October 5, 1993 (33-67258), and incorporated by reference).</w:t>
      </w:r>
    </w:p>
    <w:p>
      <w:pPr>
        <w:spacing w:after="0" w:line="130" w:lineRule="exact"/>
        <w:rPr>
          <w:sz w:val="20"/>
          <w:szCs w:val="20"/>
          <w:color w:val="auto"/>
        </w:rPr>
      </w:pPr>
    </w:p>
    <w:p>
      <w:pPr>
        <w:sectPr>
          <w:pgSz w:w="11900" w:h="16838" w:orient="portrait"/>
          <w:cols w:equalWidth="0" w:num="2">
            <w:col w:w="304" w:space="340"/>
            <w:col w:w="10120"/>
          </w:cols>
          <w:pgMar w:left="896" w:top="584" w:right="2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ind w:right="240"/>
        <w:spacing w:after="0" w:line="308" w:lineRule="auto"/>
        <w:rPr>
          <w:sz w:val="20"/>
          <w:szCs w:val="20"/>
          <w:color w:val="auto"/>
        </w:rPr>
      </w:pPr>
      <w:r>
        <w:rPr>
          <w:rFonts w:ascii="Arial" w:cs="Arial" w:eastAsia="Arial" w:hAnsi="Arial"/>
          <w:sz w:val="17"/>
          <w:szCs w:val="17"/>
          <w:color w:val="auto"/>
        </w:rPr>
        <w:t>2011 Amended and Restated Severance and Change of Control Agreement dated as of January 1, 2011 by and between the Company and Martin E. Stein, Jr. (incorporated by reference to Exhibit 10.1 of the Company's Form 8-K filed on January 3, 2011).</w:t>
      </w:r>
    </w:p>
    <w:p>
      <w:pPr>
        <w:spacing w:after="0" w:line="106" w:lineRule="exact"/>
        <w:rPr>
          <w:sz w:val="20"/>
          <w:szCs w:val="20"/>
          <w:color w:val="auto"/>
        </w:rPr>
      </w:pPr>
    </w:p>
    <w:p>
      <w:pPr>
        <w:sectPr>
          <w:pgSz w:w="11900" w:h="16838" w:orient="portrait"/>
          <w:cols w:equalWidth="0" w:num="2">
            <w:col w:w="304" w:space="340"/>
            <w:col w:w="10120"/>
          </w:cols>
          <w:pgMar w:left="896" w:top="584" w:right="2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ind w:right="240"/>
        <w:spacing w:after="0" w:line="308" w:lineRule="auto"/>
        <w:rPr>
          <w:sz w:val="20"/>
          <w:szCs w:val="20"/>
          <w:color w:val="auto"/>
        </w:rPr>
      </w:pPr>
      <w:r>
        <w:rPr>
          <w:rFonts w:ascii="Arial" w:cs="Arial" w:eastAsia="Arial" w:hAnsi="Arial"/>
          <w:sz w:val="17"/>
          <w:szCs w:val="17"/>
          <w:color w:val="auto"/>
        </w:rPr>
        <w:t>2011 Amended and Restated Severance and Change of Control Agreement dated as of January 1, 2011 by and between the Company and Bruce M. Johnson (incorporated by reference to Exhibit 10.3 of the Company's Form 8-K filed on January 3, 2011).</w:t>
      </w:r>
    </w:p>
    <w:p>
      <w:pPr>
        <w:spacing w:after="0" w:line="106" w:lineRule="exact"/>
        <w:rPr>
          <w:sz w:val="20"/>
          <w:szCs w:val="20"/>
          <w:color w:val="auto"/>
        </w:rPr>
      </w:pPr>
    </w:p>
    <w:p>
      <w:pPr>
        <w:sectPr>
          <w:pgSz w:w="11900" w:h="16838" w:orient="portrait"/>
          <w:cols w:equalWidth="0" w:num="2">
            <w:col w:w="304" w:space="340"/>
            <w:col w:w="10120"/>
          </w:cols>
          <w:pgMar w:left="896" w:top="584" w:right="239" w:bottom="1440" w:gutter="0" w:footer="0" w:header="0"/>
          <w:type w:val="continuous"/>
        </w:sectPr>
      </w:pPr>
    </w:p>
    <w:p>
      <w:pPr>
        <w:ind w:left="4"/>
        <w:spacing w:after="0"/>
        <w:rPr>
          <w:sz w:val="20"/>
          <w:szCs w:val="20"/>
          <w:color w:val="auto"/>
        </w:rPr>
      </w:pPr>
      <w:r>
        <w:rPr>
          <w:rFonts w:ascii="Arial" w:cs="Arial" w:eastAsia="Arial" w:hAnsi="Arial"/>
          <w:sz w:val="18"/>
          <w:szCs w:val="18"/>
          <w:color w:val="auto"/>
        </w:rPr>
        <w:t>~(f)</w:t>
      </w:r>
    </w:p>
    <w:p>
      <w:pPr>
        <w:spacing w:after="0" w:line="20" w:lineRule="exact"/>
        <w:rPr>
          <w:sz w:val="20"/>
          <w:szCs w:val="20"/>
          <w:color w:val="auto"/>
        </w:rPr>
      </w:pPr>
      <w:r>
        <w:rPr>
          <w:sz w:val="20"/>
          <w:szCs w:val="20"/>
          <w:color w:val="auto"/>
        </w:rPr>
        <w:br w:type="column"/>
      </w:r>
    </w:p>
    <w:p>
      <w:pPr>
        <w:ind w:right="240"/>
        <w:spacing w:after="0" w:line="308" w:lineRule="auto"/>
        <w:rPr>
          <w:sz w:val="20"/>
          <w:szCs w:val="20"/>
          <w:color w:val="auto"/>
        </w:rPr>
      </w:pPr>
      <w:r>
        <w:rPr>
          <w:rFonts w:ascii="Arial" w:cs="Arial" w:eastAsia="Arial" w:hAnsi="Arial"/>
          <w:sz w:val="17"/>
          <w:szCs w:val="17"/>
          <w:color w:val="auto"/>
        </w:rPr>
        <w:t>2011 Amended and Restated Severance and Change of Control Agreement dated as of January 1, 2011 by and between the Company and Brian M. Smith (incorporated by reference to Exhibit 10.4 of the Company's Form 8-K filed on January 3, 2011).</w:t>
      </w:r>
    </w:p>
    <w:p>
      <w:pPr>
        <w:spacing w:after="0" w:line="106" w:lineRule="exact"/>
        <w:rPr>
          <w:sz w:val="20"/>
          <w:szCs w:val="20"/>
          <w:color w:val="auto"/>
        </w:rPr>
      </w:pPr>
    </w:p>
    <w:p>
      <w:pPr>
        <w:sectPr>
          <w:pgSz w:w="11900" w:h="16838" w:orient="portrait"/>
          <w:cols w:equalWidth="0" w:num="2">
            <w:col w:w="284" w:space="360"/>
            <w:col w:w="10120"/>
          </w:cols>
          <w:pgMar w:left="896" w:top="584" w:right="239" w:bottom="1440" w:gutter="0" w:footer="0" w:header="0"/>
          <w:type w:val="continuous"/>
        </w:sectPr>
      </w:pPr>
    </w:p>
    <w:p>
      <w:pPr>
        <w:ind w:left="644" w:right="180" w:hanging="644"/>
        <w:spacing w:after="0" w:line="264" w:lineRule="auto"/>
        <w:tabs>
          <w:tab w:leader="none" w:pos="6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Third Amended and Restated Credit Agreement dated as of September 7, 2011 by and among Regency Centers, , L.P., the Company, each of the financial institutions party thereto, and Wells Fargo Bank, National Association (incorporated by reference to Exhibit 10.1 to the Company's Form 10-Q filed on November 8, 2011).</w:t>
      </w:r>
    </w:p>
    <w:p>
      <w:pPr>
        <w:spacing w:after="0" w:line="140" w:lineRule="exact"/>
        <w:rPr>
          <w:rFonts w:ascii="Arial" w:cs="Arial" w:eastAsia="Arial" w:hAnsi="Arial"/>
          <w:sz w:val="18"/>
          <w:szCs w:val="18"/>
          <w:color w:val="auto"/>
        </w:rPr>
      </w:pPr>
    </w:p>
    <w:p>
      <w:pPr>
        <w:ind w:left="1944" w:right="700" w:hanging="647"/>
        <w:spacing w:after="0" w:line="277" w:lineRule="auto"/>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First Amendment to Third Amended and Restated Credit Agreement dated September 13, 2012 (incorporated by reference to Exhibit 10.1 to the Company's Form 10-Q filed on November 9, 2012).</w:t>
      </w:r>
    </w:p>
    <w:p>
      <w:pPr>
        <w:spacing w:after="0" w:line="170" w:lineRule="exact"/>
        <w:rPr>
          <w:rFonts w:ascii="Arial" w:cs="Arial" w:eastAsia="Arial" w:hAnsi="Arial"/>
          <w:sz w:val="18"/>
          <w:szCs w:val="18"/>
          <w:color w:val="auto"/>
        </w:rPr>
      </w:pPr>
    </w:p>
    <w:p>
      <w:pPr>
        <w:jc w:val="both"/>
        <w:ind w:left="644" w:right="20" w:hanging="644"/>
        <w:spacing w:after="0" w:line="264" w:lineRule="auto"/>
        <w:tabs>
          <w:tab w:leader="none" w:pos="6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Term Loan Agreement dated as of November 17, 2011 by and among Regency Centers, L.P., the Company, each of the financial institutions party thereto and Wells Fargo Securities, LLC (incorporated by reference to Exhibit 10.1 to the Company's Form 10-K filed on February 29, 2012).</w:t>
      </w:r>
    </w:p>
    <w:p>
      <w:pPr>
        <w:spacing w:after="0" w:line="140" w:lineRule="exact"/>
        <w:rPr>
          <w:rFonts w:ascii="Arial" w:cs="Arial" w:eastAsia="Arial" w:hAnsi="Arial"/>
          <w:sz w:val="18"/>
          <w:szCs w:val="18"/>
          <w:color w:val="auto"/>
        </w:rPr>
      </w:pPr>
    </w:p>
    <w:p>
      <w:pPr>
        <w:ind w:left="1944" w:hanging="647"/>
        <w:spacing w:after="0"/>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First Amendment to Term Loan Agreement dated as of June 19, 2012.</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Second Amendment to Term Loan Agreement dated as of December 19, 2012.</w:t>
      </w:r>
    </w:p>
    <w:p>
      <w:pPr>
        <w:spacing w:after="0" w:line="225" w:lineRule="exact"/>
        <w:rPr>
          <w:rFonts w:ascii="Arial" w:cs="Arial" w:eastAsia="Arial" w:hAnsi="Arial"/>
          <w:sz w:val="18"/>
          <w:szCs w:val="18"/>
          <w:color w:val="auto"/>
        </w:rPr>
      </w:pPr>
    </w:p>
    <w:p>
      <w:pPr>
        <w:jc w:val="both"/>
        <w:ind w:left="644" w:right="260" w:hanging="644"/>
        <w:spacing w:after="0" w:line="264" w:lineRule="auto"/>
        <w:tabs>
          <w:tab w:leader="none" w:pos="6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Second Amended and Restated Limited Liability Company Agreement of Macquarie CountryWide-Regency II, LLC dated as of July 31, 2009 by and among Global Retail Investors, LLC, Regency Centers, L.P. and Macquarie CountryWide (US) No. 2 LLC (incorporated by reference to Exhibit 10.1 to the Company's Form 10-Q filed on November 6, 2009).</w:t>
      </w:r>
    </w:p>
    <w:p>
      <w:pPr>
        <w:spacing w:after="0" w:line="140" w:lineRule="exact"/>
        <w:rPr>
          <w:rFonts w:ascii="Arial" w:cs="Arial" w:eastAsia="Arial" w:hAnsi="Arial"/>
          <w:sz w:val="18"/>
          <w:szCs w:val="18"/>
          <w:color w:val="auto"/>
        </w:rPr>
      </w:pPr>
    </w:p>
    <w:p>
      <w:pPr>
        <w:ind w:left="1944" w:right="580" w:hanging="647"/>
        <w:spacing w:after="0" w:line="277" w:lineRule="auto"/>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Amendment No. 1 to Second Amended and Restate Limited Liability Company Agreement of GRI-Regency, LLC (formerly Macquarie CountryWide-Regency II, LLC).</w:t>
      </w:r>
    </w:p>
    <w:p>
      <w:pPr>
        <w:spacing w:after="0" w:line="129" w:lineRule="exact"/>
        <w:rPr>
          <w:rFonts w:ascii="Arial" w:cs="Arial" w:eastAsia="Arial" w:hAnsi="Arial"/>
          <w:sz w:val="18"/>
          <w:szCs w:val="18"/>
          <w:color w:val="auto"/>
        </w:rPr>
      </w:pPr>
    </w:p>
    <w:p>
      <w:pPr>
        <w:ind w:left="644" w:right="300" w:hanging="644"/>
        <w:spacing w:after="0" w:line="277" w:lineRule="auto"/>
        <w:tabs>
          <w:tab w:leader="none" w:pos="6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Limited Partnership Agreement dated as of December 21, 2006 of RRP Operating, LP (incorporated by reference to Exhibit 10(u) to the Company's Form 10-K filed on February 27, 2007).</w:t>
      </w:r>
    </w:p>
    <w:p>
      <w:pPr>
        <w:spacing w:after="0" w:line="37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764"/>
          </w:cols>
          <w:pgMar w:left="896" w:top="584" w:right="239" w:bottom="1440" w:gutter="0" w:footer="0" w:header="0"/>
          <w:type w:val="continuous"/>
        </w:sectPr>
      </w:pPr>
    </w:p>
    <w:bookmarkStart w:id="135" w:name="page136"/>
    <w:bookmarkEnd w:id="135"/>
    <w:p>
      <w:pPr>
        <w:ind w:left="1300" w:right="200" w:hanging="644"/>
        <w:spacing w:after="0" w:line="27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Equity Distribution Agreement among the Company, the Operating Partnership and Wells Fargo Securities, LLC dated August 10, 2012 (incorporated by reference to the Company's Form 8-K filed on August 10, 2012).</w:t>
      </w:r>
    </w:p>
    <w:p>
      <w:pPr>
        <w:spacing w:after="0" w:line="129" w:lineRule="exact"/>
        <w:rPr>
          <w:rFonts w:ascii="Arial" w:cs="Arial" w:eastAsia="Arial" w:hAnsi="Arial"/>
          <w:sz w:val="18"/>
          <w:szCs w:val="18"/>
          <w:color w:val="auto"/>
        </w:rPr>
      </w:pPr>
    </w:p>
    <w:p>
      <w:pPr>
        <w:ind w:left="420" w:hanging="412"/>
        <w:spacing w:after="0"/>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Computation of ratios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Subsidiaries of Regency Centers Corporation.</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Consents of Independent Accountants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 for Regency Centers, L.P.</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Rule 13a-14(a)/15d-14(a) Certifications.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 Certification of Chief Executive Officer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 Certification of Chief Financial Officer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Rule 13a-14 Certification of Chief Executive Officer for Regency Centers, L.P.</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Rule 13a-14 Certification of Chief Financial Officer for Regency Centers, L.P.</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Section 1350 Certifications.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certifications in this exhibit 32 are being furnished solely to accompany this report pursuant to 18 U.S.C. § 1350, and are not being filed for purposes of Section 18 of the Securities Exchange Act of 1934, as amended, and are not to be incorporated by reference into any of the Company's filings, whether made before or after the date hereof, regardless of any general incorporation language in such filing.</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18 U.S.C. § 1350 Certification of Chief Executive Officer for Regency Centers Corporation.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18 U.S.C. § 1350 Certification of Chief Financial Officer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18 U.S.C. § 1350 Certification of Chief Executive Officer for Regency Centers, L.P.</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18 U.S.C. § 1350 Certification of Chief Financial Officer for Regency Centers, L.P.</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Interactive Data Files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460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5"/>
              </w:rPr>
              <w:t>101.SCH+</w:t>
            </w:r>
          </w:p>
        </w:tc>
        <w:tc>
          <w:tcPr>
            <w:tcW w:w="46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9"/>
              </w:rPr>
              <w:t>101.CAL+</w:t>
            </w:r>
          </w:p>
        </w:tc>
        <w:tc>
          <w:tcPr>
            <w:tcW w:w="4600" w:type="dxa"/>
            <w:vAlign w:val="bottom"/>
          </w:tcPr>
          <w:p>
            <w:pPr>
              <w:ind w:left="14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8"/>
              </w:rPr>
              <w:t>101.DEF+</w:t>
            </w:r>
          </w:p>
        </w:tc>
        <w:tc>
          <w:tcPr>
            <w:tcW w:w="4600" w:type="dxa"/>
            <w:vAlign w:val="bottom"/>
          </w:tcPr>
          <w:p>
            <w:pPr>
              <w:ind w:left="120"/>
              <w:spacing w:after="0"/>
              <w:rPr>
                <w:sz w:val="20"/>
                <w:szCs w:val="20"/>
                <w:color w:val="auto"/>
              </w:rPr>
            </w:pPr>
            <w:r>
              <w:rPr>
                <w:rFonts w:ascii="Arial" w:cs="Arial" w:eastAsia="Arial" w:hAnsi="Arial"/>
                <w:sz w:val="18"/>
                <w:szCs w:val="18"/>
                <w:color w:val="auto"/>
              </w:rPr>
              <w:t>XBRL Taxonomy Definition Linkbase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460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6"/>
              </w:rPr>
              <w:t>101.PRE+</w:t>
            </w:r>
          </w:p>
        </w:tc>
        <w:tc>
          <w:tcPr>
            <w:tcW w:w="4600" w:type="dxa"/>
            <w:vAlign w:val="bottom"/>
          </w:tcPr>
          <w:p>
            <w:pPr>
              <w:ind w:left="1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with this Annual Report</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00"/>
          </w:cols>
          <w:pgMar w:left="240" w:top="584" w:right="359" w:bottom="1440" w:gutter="0" w:footer="0" w:header="0"/>
        </w:sectPr>
      </w:pPr>
    </w:p>
    <w:bookmarkStart w:id="136" w:name="page137"/>
    <w:bookmarkEnd w:id="136"/>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280"/>
        <w:spacing w:after="0"/>
        <w:tabs>
          <w:tab w:leader="none" w:pos="4420" w:val="left"/>
        </w:tabs>
        <w:rPr>
          <w:sz w:val="20"/>
          <w:szCs w:val="20"/>
          <w:color w:val="auto"/>
        </w:rPr>
      </w:pPr>
      <w:r>
        <w:rPr>
          <w:rFonts w:ascii="Arial" w:cs="Arial" w:eastAsia="Arial" w:hAnsi="Arial"/>
          <w:sz w:val="18"/>
          <w:szCs w:val="18"/>
          <w:color w:val="auto"/>
        </w:rPr>
        <w:t>March 1, 2013</w:t>
      </w:r>
      <w:r>
        <w:rPr>
          <w:sz w:val="20"/>
          <w:szCs w:val="20"/>
          <w:color w:val="auto"/>
        </w:rPr>
        <w:tab/>
      </w:r>
      <w:r>
        <w:rPr>
          <w:rFonts w:ascii="Arial" w:cs="Arial" w:eastAsia="Arial" w:hAnsi="Arial"/>
          <w:sz w:val="17"/>
          <w:szCs w:val="17"/>
          <w:b w:val="1"/>
          <w:bCs w:val="1"/>
          <w:color w:val="auto"/>
        </w:rPr>
        <w:t>REGENCY CENTERS CORPORATION</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u w:val="single" w:color="auto"/>
          <w:color w:val="auto"/>
        </w:rPr>
        <w:t>/s/ Martin E. Stein, Jr.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Martin E. Stein. Jr., Chairman of the Board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spacing w:after="0"/>
        <w:tabs>
          <w:tab w:leader="none" w:pos="4420" w:val="left"/>
        </w:tabs>
        <w:rPr>
          <w:sz w:val="20"/>
          <w:szCs w:val="20"/>
          <w:color w:val="auto"/>
        </w:rPr>
      </w:pPr>
      <w:r>
        <w:rPr>
          <w:rFonts w:ascii="Arial" w:cs="Arial" w:eastAsia="Arial" w:hAnsi="Arial"/>
          <w:sz w:val="18"/>
          <w:szCs w:val="18"/>
          <w:color w:val="auto"/>
        </w:rPr>
        <w:t>March 1, 2013</w:t>
      </w:r>
      <w:r>
        <w:rPr>
          <w:sz w:val="20"/>
          <w:szCs w:val="20"/>
          <w:color w:val="auto"/>
        </w:rPr>
        <w:tab/>
      </w:r>
      <w:r>
        <w:rPr>
          <w:rFonts w:ascii="Arial" w:cs="Arial" w:eastAsia="Arial" w:hAnsi="Arial"/>
          <w:sz w:val="17"/>
          <w:szCs w:val="17"/>
          <w:b w:val="1"/>
          <w:bCs w:val="1"/>
          <w:color w:val="auto"/>
        </w:rPr>
        <w:t>REGENCY CENTERS, L.P.</w:t>
      </w:r>
    </w:p>
    <w:p>
      <w:pPr>
        <w:spacing w:after="0" w:line="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Regency Centers Corporation, General Partner</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u w:val="single" w:color="auto"/>
          <w:color w:val="auto"/>
        </w:rPr>
        <w:t>/s/ Martin E. Stein, Jr.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Martin E. Stein. Jr., Chairman of the Board and Chief Executive Officer</w:t>
      </w:r>
    </w:p>
    <w:p>
      <w:pPr>
        <w:spacing w:after="0" w:line="200" w:lineRule="exact"/>
        <w:rPr>
          <w:sz w:val="20"/>
          <w:szCs w:val="20"/>
          <w:color w:val="auto"/>
        </w:rPr>
      </w:pPr>
    </w:p>
    <w:p>
      <w:pPr>
        <w:spacing w:after="0" w:line="2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40"/>
          </w:cols>
          <w:pgMar w:left="240" w:top="837" w:right="619" w:bottom="1440" w:gutter="0" w:footer="0" w:header="0"/>
        </w:sectPr>
      </w:pPr>
    </w:p>
    <w:bookmarkStart w:id="137" w:name="page138"/>
    <w:bookmarkEnd w:id="137"/>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Martin E. Stein, Jr.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Martin E. Stein. Jr., Chairman of the Board and Chief Executive Officer</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Brian M. Smith</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Brian M. Smith, President, Chief Operating Officer and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Lisa Palmer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Lisa Palmer, Executive Vice President, Chief Financial Officer (Principal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Financial Officer), and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J. Christian Leavitt</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 Christian Leavitt, Senior Vice President and Treasurer (Principal</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Raymond L. Bank</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Raymond L. Bank,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C. Ronald Blankenship</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 Ronald Blankenship,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A.R. Carpenter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A.R. Carpenter,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J. Dix Druce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 Dix Druce,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Mary Lou Fiala</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Mary Lou Fiala,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David P. O'Connor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David P. O'Connor,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Douglas S. Luke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Douglas S. Luke,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John C. Schweitzer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C. Schweitzer, Director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2013</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i w:val="1"/>
          <w:iCs w:val="1"/>
          <w:u w:val="single" w:color="auto"/>
          <w:color w:val="auto"/>
        </w:rPr>
        <w:t>/s/ Thomas G. Wattles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Thomas G. Wattles, Director</w:t>
      </w: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989" w:right="4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10(h)(i)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TERM LOAN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FIRST AMENDMENT TO TERM LOAN AGREEMENT (this “Amendment”) dated as of June 19, 2012, by and among REGENCY CENTERS, L.P., a Delaware limited partnership (the “Borrower”), REGENCY CENTERS CORPORATION, a Florida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each of the Lenders, and Wells Fargo Bank, National Association, as Administrative Agent (together with its successors and assigns, the “Administrative Agent”) for the Lenders.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Borrower, the Parent, the Lenders, the Administrative Agent and certain other parties have entered into that certain Term Loan Agreement dated as of November 17, 2011 (as in effect immediately prior to the effectiveness of this Amendment, the “Credit Agreement”), and desire to amend certain provisions of the Credit Agreement on the terms and conditions contained herein;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hereby agree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 The Loan Agreement is amended by restating the definition of “Delayed Draw Availability Period” set forth in Section 1.1. in its entirety as follows:</w:t>
      </w:r>
    </w:p>
    <w:p>
      <w:pPr>
        <w:spacing w:after="0" w:line="166"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Availability Period</w:t>
      </w:r>
      <w:r>
        <w:rPr>
          <w:rFonts w:ascii="Arial" w:cs="Arial" w:eastAsia="Arial" w:hAnsi="Arial"/>
          <w:sz w:val="18"/>
          <w:szCs w:val="18"/>
          <w:color w:val="auto"/>
        </w:rPr>
        <w:t>” means the period from the Initial Funding Date until the earlier of (i) January 11, 2013, and (ii) the date that the aggregate amount of Delayed Draw Term Loans funded since the Initial Funding Date equal the initial aggregate amount of the Delayed Draw TL Commitments of all Lenders.</w:t>
      </w:r>
    </w:p>
    <w:p>
      <w:pPr>
        <w:spacing w:after="0" w:line="1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receipt by the Administrative Agent of each of the following, each in form and substance satisfactory to the Administrative Agent:</w:t>
      </w:r>
    </w:p>
    <w:p>
      <w:pPr>
        <w:spacing w:after="0" w:line="170" w:lineRule="exact"/>
        <w:rPr>
          <w:sz w:val="20"/>
          <w:szCs w:val="20"/>
          <w:color w:val="auto"/>
        </w:rPr>
      </w:pPr>
    </w:p>
    <w:p>
      <w:pPr>
        <w:ind w:left="1020" w:hanging="36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counterpart of this Amendment duly executed by the Borrower, the Administrative Agent and each of the Lenders;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Acknowledgement substantially in the form of Exhibit A attached hereto, executed by each Guarantor;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other documents, instruments and agreements as the Administrative Agent may reasonably request.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Borrower and Parent represent and warrant to the Administrative Agent and the Lenders that:</w:t>
      </w:r>
    </w:p>
    <w:p>
      <w:pPr>
        <w:spacing w:after="0" w:line="225" w:lineRule="exact"/>
        <w:rPr>
          <w:sz w:val="20"/>
          <w:szCs w:val="20"/>
          <w:color w:val="auto"/>
        </w:rPr>
      </w:pPr>
    </w:p>
    <w:p>
      <w:pPr>
        <w:jc w:val="both"/>
        <w:ind w:firstLine="656"/>
        <w:spacing w:after="0" w:line="255" w:lineRule="auto"/>
        <w:tabs>
          <w:tab w:leader="none" w:pos="10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Each of the Borrower and the Parent has the right and power, and has taken all necessary action to authorize it, to execute and deliver this Amendment and to perform its obligations hereunder and under the Credit Agreement, as amended by this Amendment, in accordance with their respective terms. This Amendment has been duly executed and delivered by a duly authorized officer of the Borrower and the Parent and each of this Amendment and the Credit Agreement, as amended by this Amendment, is a legal, valid and binding obligation of the Borrower and the Parent enforceable against the Borrower and the Parent in accordance with its respective terms except as (i) the enforceability thereof may be limited by bankruptcy, insolvency or similar laws affecting creditors' rights generally and (ii) the availability of equitable remedies may be limited by equitable principles of general applicability.</w:t>
      </w:r>
    </w:p>
    <w:p>
      <w:pPr>
        <w:spacing w:after="0" w:line="189" w:lineRule="exact"/>
        <w:rPr>
          <w:rFonts w:ascii="Arial" w:cs="Arial" w:eastAsia="Arial" w:hAnsi="Arial"/>
          <w:sz w:val="18"/>
          <w:szCs w:val="18"/>
          <w:color w:val="auto"/>
        </w:rPr>
      </w:pPr>
    </w:p>
    <w:p>
      <w:pPr>
        <w:jc w:val="both"/>
        <w:ind w:firstLine="656"/>
        <w:spacing w:after="0" w:line="272" w:lineRule="auto"/>
        <w:tabs>
          <w:tab w:leader="none" w:pos="103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The execution and delivery by each of the Borrower and the Parent of this Amendment and the performance by the Borrower and the Parent of this Amendment and the Credit Agreement, as amended by this Amendment, in accordance with their respective terms, do not and will not, by the passage of time, the giving of notice or otherwise: (i) require any Governmental Approval or violate any Applicable Law (including Environmental Laws) relating to the Borrower or any other Loan Party; (ii) conflict with, result in a breach of or constitute a default under the organizational documents of Borrower, Parent, or any other Loan Party, or any indenture, agreement or other instrument to which the Borrower, Parent, or any other Loan Party is a party or by which it or any of its properties may be bound; or (iii) result in or require the creation or imposition of any Lien upon or with respect to any property now owned or hereafter acquired by the Borrower, Parent, or any other Loan Party.</w:t>
      </w:r>
    </w:p>
    <w:p>
      <w:pPr>
        <w:spacing w:after="0" w:line="177" w:lineRule="exact"/>
        <w:rPr>
          <w:rFonts w:ascii="Arial" w:cs="Arial" w:eastAsia="Arial" w:hAnsi="Arial"/>
          <w:sz w:val="17"/>
          <w:szCs w:val="17"/>
          <w:color w:val="auto"/>
        </w:rPr>
      </w:pPr>
    </w:p>
    <w:p>
      <w:pPr>
        <w:ind w:firstLine="656"/>
        <w:spacing w:after="0" w:line="277" w:lineRule="auto"/>
        <w:tabs>
          <w:tab w:leader="none" w:pos="10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 as of the date hereof or will exist immediately after giving effect to this Amendment.</w:t>
      </w:r>
    </w:p>
    <w:p>
      <w:pPr>
        <w:sectPr>
          <w:pgSz w:w="11900" w:h="16838" w:orient="portrait"/>
          <w:cols w:equalWidth="0" w:num="1">
            <w:col w:w="11420"/>
          </w:cols>
          <w:pgMar w:left="240" w:top="580" w:right="239" w:bottom="1440" w:gutter="0" w:footer="0" w:header="0"/>
        </w:sectPr>
      </w:pPr>
    </w:p>
    <w:bookmarkStart w:id="139" w:name="page140"/>
    <w:bookmarkEnd w:id="139"/>
    <w:p>
      <w:pPr>
        <w:jc w:val="both"/>
        <w:ind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Reaffirmation of Representations by Borrower and Parent</w:t>
      </w:r>
      <w:r>
        <w:rPr>
          <w:rFonts w:ascii="Arial" w:cs="Arial" w:eastAsia="Arial" w:hAnsi="Arial"/>
          <w:sz w:val="18"/>
          <w:szCs w:val="18"/>
          <w:color w:val="auto"/>
        </w:rPr>
        <w:t>. Each of the Borrower and the Parent hereby repeats and reaffirms all representations and warranties made by the Borrower and the Parent and the other Loan Parties to the Administrative Agent and the Lenders in the Credit Agreement and the other Loan Documents on and as of the date hereof with the same force and effect as if such representations and warranties were set forth in this Amendment in full.</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Certain References</w:t>
      </w:r>
      <w:r>
        <w:rPr>
          <w:rFonts w:ascii="Arial" w:cs="Arial" w:eastAsia="Arial" w:hAnsi="Arial"/>
          <w:sz w:val="18"/>
          <w:szCs w:val="18"/>
          <w:color w:val="auto"/>
        </w:rPr>
        <w:t>. Each reference to the Credit Agreement in any of the Loan Documents shall be deemed to be a reference to the Credit Agreement as amended by this Amendment.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Expenses</w:t>
      </w:r>
      <w:r>
        <w:rPr>
          <w:rFonts w:ascii="Arial" w:cs="Arial" w:eastAsia="Arial" w:hAnsi="Arial"/>
          <w:sz w:val="18"/>
          <w:szCs w:val="18"/>
          <w:color w:val="auto"/>
        </w:rPr>
        <w:t>. The Borrower shall reimburse the Administrative Agent upon demand for all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Benefits</w:t>
      </w:r>
      <w:r>
        <w:rPr>
          <w:rFonts w:ascii="Arial" w:cs="Arial" w:eastAsia="Arial" w:hAnsi="Arial"/>
          <w:sz w:val="16"/>
          <w:szCs w:val="16"/>
          <w:color w:val="auto"/>
        </w:rPr>
        <w:t>. This Amendment shall be binding upon and shall inure to the benefit of the parties hereto and their respective successors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 APPLICABLE TO CONTRACTS EXECUTED, AND TO BE FULLY PERFORMED, IN SUCH STATE.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Effect</w:t>
      </w:r>
      <w:r>
        <w:rPr>
          <w:rFonts w:ascii="Arial" w:cs="Arial" w:eastAsia="Arial" w:hAnsi="Arial"/>
          <w:sz w:val="18"/>
          <w:szCs w:val="18"/>
          <w:color w:val="auto"/>
        </w:rPr>
        <w:t>. Except as expressly herein amended, the terms and conditions of the Credit Agreement and the other Loan Documents remain in full force and effect. The amendments contained herein shall be deemed to have prospective application only from the date as of which this Amendment is dated, unless otherwise specifically stated herein.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w:t>
      </w:r>
    </w:p>
    <w:p>
      <w:pPr>
        <w:spacing w:after="0" w:line="3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otherwise defined herein are used herein with the respective definitions given them in the Credit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ectPr>
          <w:pgSz w:w="11900" w:h="16838" w:orient="portrait"/>
          <w:cols w:equalWidth="0" w:num="1">
            <w:col w:w="11420"/>
          </w:cols>
          <w:pgMar w:left="240" w:top="584" w:right="239" w:bottom="1440" w:gutter="0" w:footer="0" w:header="0"/>
        </w:sectPr>
      </w:pPr>
    </w:p>
    <w:bookmarkStart w:id="140" w:name="page141"/>
    <w:bookmarkEnd w:id="140"/>
    <w:p>
      <w:pPr>
        <w:ind w:left="4240" w:hanging="4667"/>
        <w:spacing w:after="0" w:line="277" w:lineRule="auto"/>
        <w:rPr>
          <w:sz w:val="20"/>
          <w:szCs w:val="20"/>
          <w:color w:val="auto"/>
        </w:rPr>
      </w:pPr>
      <w:r>
        <w:rPr>
          <w:rFonts w:ascii="Arial" w:cs="Arial" w:eastAsia="Arial" w:hAnsi="Arial"/>
          <w:sz w:val="18"/>
          <w:szCs w:val="18"/>
          <w:color w:val="auto"/>
        </w:rPr>
        <w:t>IN WITNESS WHEREOF, the parties hereto have caused this First Amendment to Term Loan Agreement to be executed as of the date first above written.</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Regency Centers, L.P.</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 Regency Centers Corporation,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pacing w:after="0" w:line="227"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 N. Koleszar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 Andre N. Koleszar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Title: Vice President - Regional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Regency Centers Corporation</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 N. Koleszar</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Andre N. Koleszar</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Regional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100"/>
          </w:cols>
          <w:pgMar w:left="1440" w:top="584" w:right="35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Wells Fargo Bank, National Association, as Administrative Agent and as a Lender</w:t>
      </w:r>
    </w:p>
    <w:p>
      <w:pPr>
        <w:spacing w:after="0" w:line="200" w:lineRule="exact"/>
        <w:rPr>
          <w:sz w:val="20"/>
          <w:szCs w:val="20"/>
          <w:color w:val="auto"/>
        </w:rPr>
      </w:pPr>
    </w:p>
    <w:p>
      <w:pPr>
        <w:spacing w:after="0" w:line="26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W. Hussion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Andrew W. Hussion</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42" w:name="page143"/>
    <w:bookmarkEnd w:id="142"/>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PNC BANK, NATIONAL ASSOCIATION, as a Lender</w:t>
      </w:r>
    </w:p>
    <w:p>
      <w:pPr>
        <w:spacing w:after="0" w:line="200" w:lineRule="exact"/>
        <w:rPr>
          <w:sz w:val="20"/>
          <w:szCs w:val="20"/>
          <w:color w:val="auto"/>
        </w:rPr>
      </w:pPr>
    </w:p>
    <w:p>
      <w:pPr>
        <w:spacing w:after="0" w:line="25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Ken Carl</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Ken Carl</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43" w:name="page144"/>
    <w:bookmarkEnd w:id="143"/>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REGIONS BANK,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E. Burgan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Paul E. Burgan</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44" w:name="page145"/>
    <w:bookmarkEnd w:id="144"/>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SUNTRUST BANK,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Nancy B. Richards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Nancy B. Richards</w:t>
      </w:r>
    </w:p>
    <w:p>
      <w:pPr>
        <w:spacing w:after="0" w:line="9"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45" w:name="page146"/>
    <w:bookmarkEnd w:id="145"/>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Joseph Hord</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Joseph Hord</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019"/>
          </w:cols>
          <w:pgMar w:left="1440" w:top="580" w:right="1440" w:bottom="1440" w:gutter="0" w:footer="0" w:header="0"/>
          <w:type w:val="continuous"/>
        </w:sectPr>
      </w:pPr>
    </w:p>
    <w:bookmarkStart w:id="146" w:name="page147"/>
    <w:bookmarkEnd w:id="146"/>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THE BANK OF TOKYO-MITSUBISHI UFJ, LTD.,</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Stewart</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Charles Stewart</w:t>
      </w:r>
    </w:p>
    <w:p>
      <w:pPr>
        <w:spacing w:after="0" w:line="9"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47" w:name="page148"/>
    <w:bookmarkEnd w:id="147"/>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BANK OF AMERICA, N.A.,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W. Edwards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Michael W. Edwards</w:t>
      </w:r>
    </w:p>
    <w:p>
      <w:pPr>
        <w:spacing w:after="0" w:line="9"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48" w:name="page149"/>
    <w:bookmarkEnd w:id="148"/>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JPMORGAN CHASE BANK, N.A.,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Mohammad S. Hasan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Mohammad S. Hasan</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49" w:name="page150"/>
    <w:bookmarkEnd w:id="149"/>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ROYAL BANK OF CANADA,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Dan LePage</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Dan LePage</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50" w:name="page151"/>
    <w:bookmarkEnd w:id="150"/>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SUMITOMO MITSUI BANKING CORPORATION,</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William G. Karl</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William G. Karl</w:t>
      </w:r>
    </w:p>
    <w:p>
      <w:pPr>
        <w:spacing w:after="0" w:line="9"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51" w:name="page152"/>
    <w:bookmarkEnd w:id="151"/>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First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COMERICA BANK, as a Lender</w:t>
      </w:r>
    </w:p>
    <w:p>
      <w:pPr>
        <w:spacing w:after="0" w:line="200" w:lineRule="exact"/>
        <w:rPr>
          <w:sz w:val="20"/>
          <w:szCs w:val="20"/>
          <w:color w:val="auto"/>
        </w:rPr>
      </w:pPr>
    </w:p>
    <w:p>
      <w:pPr>
        <w:spacing w:after="0" w:line="25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T. Shea</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Michael T. Shea</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019"/>
          </w:cols>
          <w:pgMar w:left="1440" w:top="580" w:right="1440"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GUARANTOR ACKNOWLEDGEMENT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GUARANTOR ACKNOWLEDGEMENT dated as of June 19, 2012 (this “Acknowledgement”) executed by each of the undersigned (the “Guarantors”) in favor of Wells Fargo Bank, National Association, as Administrative Agent (the “Administrative Agent”), and each “Lender” a party to the Credit Agreement referred to below (the “Lenders”).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Regency Centers, L.P., a Delaware limited partnership (the “Borrower”), Regency Centers Corporation, a Florida corporation (the “Parent”), the Lenders, the Administrative Agent and certain other parties have entered into that certain Term Loan Agreement dated as of November 17, 2011 (as amended, restated, supplemented or otherwise modified from time to time, the “Credit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each of the Guarantors is a party to that certain Guaranty dated as of November 17, 2011 (as amended, restated, supplemented or otherwise modified from time to time, the “Guaranty”) pursuant to which they guarantied, among other things, the Borrower's obligations under the Credit Agreement on the terms and conditions contained in the Guaranty;</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WHEREAS, the Borrower, the Parent, the Administrative Agent and the Lenders are to enter into a First Amendment to Term Loan Agreement dated as of the date hereof (the “Amendment”), to amend the terms of the Credit Agreement on the terms and conditions contained therein;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it is a condition precedent to the effectiveness of the Amendment that the Guarantors execute and deliver this Acknowledgement;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Reaffirmation</w:t>
      </w:r>
      <w:r>
        <w:rPr>
          <w:rFonts w:ascii="Arial" w:cs="Arial" w:eastAsia="Arial" w:hAnsi="Arial"/>
          <w:sz w:val="18"/>
          <w:szCs w:val="18"/>
          <w:color w:val="auto"/>
        </w:rPr>
        <w:t>. Each Guarantor hereby reaffirms its continuing obligations to the Administrative Agent and the Lenders under the Guaranty and agrees that the transactions contemplated by the Amendment shall not in any way affect the validity and enforceability of the Guaranty, or reduce, impair or discharge the obligations of such Guarantor thereunder.</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ACKNOWLEDGEMENT SHALL BE GOVERNED BY, AND CONSTRUED IN ACCORDANCE WITH, THE LAWS OF THE STATE OF NEW YORK APPLICABLE TO CONTRACTS EXECUTED, AND TO BE FULLY PERFORMED, IN SUCH STATE.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Acknowledgement may be executed in any number of counterparts, each of which shall be deemed to be an original and shall be binding upon all parties,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ectPr>
          <w:pgSz w:w="11900" w:h="16838" w:orient="portrait"/>
          <w:cols w:equalWidth="0" w:num="1">
            <w:col w:w="11420"/>
          </w:cols>
          <w:pgMar w:left="240" w:top="584" w:right="239" w:bottom="1440" w:gutter="0" w:footer="0" w:header="0"/>
        </w:sectPr>
      </w:pPr>
    </w:p>
    <w:bookmarkStart w:id="153" w:name="page154"/>
    <w:bookmarkEnd w:id="153"/>
    <w:p>
      <w:pPr>
        <w:ind w:left="4280" w:hanging="4686"/>
        <w:spacing w:after="0" w:line="277" w:lineRule="auto"/>
        <w:rPr>
          <w:sz w:val="20"/>
          <w:szCs w:val="20"/>
          <w:color w:val="auto"/>
        </w:rPr>
      </w:pPr>
      <w:r>
        <w:rPr>
          <w:rFonts w:ascii="Arial" w:cs="Arial" w:eastAsia="Arial" w:hAnsi="Arial"/>
          <w:sz w:val="18"/>
          <w:szCs w:val="18"/>
          <w:color w:val="auto"/>
        </w:rPr>
        <w:t>IN WITNESS WHEREOF, each Guarantor has duly executed and delivered this Guarantor Acknowledgement as of the date and year first written above.</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REGENCY CENTERS CORPORATION</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 N. Koleszar</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Andre N. Koleszar</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Regional Officer</w:t>
      </w:r>
    </w:p>
    <w:p>
      <w:pPr>
        <w:sectPr>
          <w:pgSz w:w="11900" w:h="16838" w:orient="portrait"/>
          <w:cols w:equalWidth="0" w:num="1">
            <w:col w:w="10080"/>
          </w:cols>
          <w:pgMar w:left="1440" w:top="585" w:right="379" w:bottom="1440" w:gutter="0" w:footer="0" w:header="0"/>
        </w:sectPr>
      </w:pPr>
    </w:p>
    <w:bookmarkStart w:id="154" w:name="page155"/>
    <w:bookmarkEnd w:id="154"/>
    <w:p>
      <w:pPr>
        <w:ind w:left="9820"/>
        <w:spacing w:after="0"/>
        <w:rPr>
          <w:sz w:val="20"/>
          <w:szCs w:val="20"/>
          <w:color w:val="auto"/>
        </w:rPr>
      </w:pPr>
      <w:r>
        <w:rPr>
          <w:rFonts w:ascii="Arial" w:cs="Arial" w:eastAsia="Arial" w:hAnsi="Arial"/>
          <w:sz w:val="18"/>
          <w:szCs w:val="18"/>
          <w:b w:val="1"/>
          <w:bCs w:val="1"/>
          <w:color w:val="auto"/>
        </w:rPr>
        <w:t>Exhibit 10(h)(ii)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TERM LOAN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Second AMENDMENT TO TERM LOAN AGREEMENT (this “Amendment”) dated as of December 19, 2012, by and among REGENCY CENTERS, L.P., a Delaware limited partnership (the “Borrower”), REGENCY CENTERS CORPORATION, a Florida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each of the Lenders, and Wells Fargo Bank, National Association, as Administrative Agent (together with its successors and assigns, the “Administrative Agent”) for the Lenders.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Borrower, the Parent, the Lenders, the Administrative Agent and certain other parties have entered into that certain Term Loan Agreement dated as of November 17, 2011 (as amended from time to time and as in effect immediately prior to the effectiveness of this Amendment, the “Credit Agreement”), and desire to amend certain provisions of the Credit Agreement on the terms and conditions contained herein;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hereby agree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 The Loan Agreement is amended by restating the definition of “Delayed Draw Availability Period” set forth in Section 1.1. in its entirety as follows:</w:t>
      </w:r>
    </w:p>
    <w:p>
      <w:pPr>
        <w:spacing w:after="0" w:line="166"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Availability Period</w:t>
      </w:r>
      <w:r>
        <w:rPr>
          <w:rFonts w:ascii="Arial" w:cs="Arial" w:eastAsia="Arial" w:hAnsi="Arial"/>
          <w:sz w:val="18"/>
          <w:szCs w:val="18"/>
          <w:color w:val="auto"/>
        </w:rPr>
        <w:t>” means the period from the Initial Funding Date until the earlier of (i) June 11, 2013, and (ii) the date that the aggregate amount of Delayed Draw Term Loans funded since the Initial Funding Date equal the initial aggregate amount of the Delayed Draw TL Commitments of all Lenders.</w:t>
      </w:r>
    </w:p>
    <w:p>
      <w:pPr>
        <w:spacing w:after="0" w:line="1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receipt by the Administrative Agent of each of the following, each in form and substance satisfactory to the Administrative Agent:</w:t>
      </w:r>
    </w:p>
    <w:p>
      <w:pPr>
        <w:spacing w:after="0" w:line="170" w:lineRule="exact"/>
        <w:rPr>
          <w:sz w:val="20"/>
          <w:szCs w:val="20"/>
          <w:color w:val="auto"/>
        </w:rPr>
      </w:pPr>
    </w:p>
    <w:p>
      <w:pPr>
        <w:ind w:left="1020" w:hanging="364"/>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counterpart of this Amendment duly executed by the Borrower, the Administrative Agent and each of the Lenders;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Acknowledgement substantially in the form of Exhibit A attached hereto, executed by each Guarantor;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other documents, instruments and agreements as the Administrative Agent may reasonably request.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Borrower and Parent represent and warrant to the Administrative Agent and the Lenders that:</w:t>
      </w:r>
    </w:p>
    <w:p>
      <w:pPr>
        <w:spacing w:after="0" w:line="225" w:lineRule="exact"/>
        <w:rPr>
          <w:sz w:val="20"/>
          <w:szCs w:val="20"/>
          <w:color w:val="auto"/>
        </w:rPr>
      </w:pPr>
    </w:p>
    <w:p>
      <w:pPr>
        <w:jc w:val="both"/>
        <w:ind w:firstLine="656"/>
        <w:spacing w:after="0" w:line="255" w:lineRule="auto"/>
        <w:tabs>
          <w:tab w:leader="none" w:pos="105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Each of the Borrower and the Parent has the right and power, and has taken all necessary action to authorize it, to execute and deliver this Amendment and to perform its obligations hereunder and under the Credit Agreement, as amended by this Amendment, in accordance with their respective terms. This Amendment has been duly executed and delivered by a duly authorized officer of the Borrower and the Parent and each of this Amendment and the Credit Agreement, as amended by this Amendment, is a legal, valid and binding obligation of the Borrower and the Parent enforceable against the Borrower and the Parent in accordance with its respective terms except as (i) the enforceability thereof may be limited by bankruptcy, insolvency or similar laws affecting creditors' rights generally and (ii) the availability of equitable remedies may be limited by equitable principles of general applicability.</w:t>
      </w:r>
    </w:p>
    <w:p>
      <w:pPr>
        <w:spacing w:after="0" w:line="189" w:lineRule="exact"/>
        <w:rPr>
          <w:rFonts w:ascii="Arial" w:cs="Arial" w:eastAsia="Arial" w:hAnsi="Arial"/>
          <w:sz w:val="18"/>
          <w:szCs w:val="18"/>
          <w:color w:val="auto"/>
        </w:rPr>
      </w:pPr>
    </w:p>
    <w:p>
      <w:pPr>
        <w:jc w:val="both"/>
        <w:ind w:firstLine="656"/>
        <w:spacing w:after="0" w:line="272" w:lineRule="auto"/>
        <w:tabs>
          <w:tab w:leader="none" w:pos="1038"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The execution and delivery by each of the Borrower and the Parent of this Amendment and the performance by the Borrower and the Parent of this Amendment and the Credit Agreement, as amended by this Amendment, in accordance with their respective terms, do not and will not, by the passage of time, the giving of notice or otherwise: (i) require any Governmental Approval or violate any Applicable Law (including Environmental Laws) relating to the Borrower or any other Loan Party; (ii) conflict with, result in a breach of or constitute a default under the organizational documents of Borrower, Parent, or any other Loan Party, or any indenture, agreement or other instrument to which the Borrower, Parent, or any other Loan Party is a party or by which it or any of its properties may be bound; or (iii) result in or require the creation or imposition of any Lien upon or with respect to any property now owned or hereafter acquired by the Borrower, Parent, or any other Loan Party.</w:t>
      </w:r>
    </w:p>
    <w:p>
      <w:pPr>
        <w:spacing w:after="0" w:line="177" w:lineRule="exact"/>
        <w:rPr>
          <w:rFonts w:ascii="Arial" w:cs="Arial" w:eastAsia="Arial" w:hAnsi="Arial"/>
          <w:sz w:val="17"/>
          <w:szCs w:val="17"/>
          <w:color w:val="auto"/>
        </w:rPr>
      </w:pPr>
    </w:p>
    <w:p>
      <w:pPr>
        <w:ind w:firstLine="656"/>
        <w:spacing w:after="0" w:line="277" w:lineRule="auto"/>
        <w:tabs>
          <w:tab w:leader="none" w:pos="104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 as of the date hereof or will exist immediately after giving effect to this Amendment.</w:t>
      </w:r>
    </w:p>
    <w:p>
      <w:pPr>
        <w:sectPr>
          <w:pgSz w:w="11900" w:h="16838" w:orient="portrait"/>
          <w:cols w:equalWidth="0" w:num="1">
            <w:col w:w="11420"/>
          </w:cols>
          <w:pgMar w:left="240" w:top="580" w:right="239" w:bottom="1440" w:gutter="0" w:footer="0" w:header="0"/>
        </w:sectPr>
      </w:pPr>
    </w:p>
    <w:bookmarkStart w:id="155" w:name="page156"/>
    <w:bookmarkEnd w:id="155"/>
    <w:p>
      <w:pPr>
        <w:jc w:val="both"/>
        <w:ind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Reaffirmation of Representations by Borrower and Parent</w:t>
      </w:r>
      <w:r>
        <w:rPr>
          <w:rFonts w:ascii="Arial" w:cs="Arial" w:eastAsia="Arial" w:hAnsi="Arial"/>
          <w:sz w:val="18"/>
          <w:szCs w:val="18"/>
          <w:color w:val="auto"/>
        </w:rPr>
        <w:t>. Each of the Borrower and the Parent hereby repeats and reaffirms all representations and warranties made by the Borrower and the Parent and the other Loan Parties to the Administrative Agent and the Lenders in the Credit Agreement and the other Loan Documents on and as of the date hereof with the same force and effect as if such representations and warranties were set forth in this Amendment in full.</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Certain References</w:t>
      </w:r>
      <w:r>
        <w:rPr>
          <w:rFonts w:ascii="Arial" w:cs="Arial" w:eastAsia="Arial" w:hAnsi="Arial"/>
          <w:sz w:val="18"/>
          <w:szCs w:val="18"/>
          <w:color w:val="auto"/>
        </w:rPr>
        <w:t>. Each reference to the Credit Agreement in any of the Loan Documents shall be deemed to be a reference to the Credit Agreement as amended by this Amendment.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Expenses</w:t>
      </w:r>
      <w:r>
        <w:rPr>
          <w:rFonts w:ascii="Arial" w:cs="Arial" w:eastAsia="Arial" w:hAnsi="Arial"/>
          <w:sz w:val="18"/>
          <w:szCs w:val="18"/>
          <w:color w:val="auto"/>
        </w:rPr>
        <w:t>. The Borrower shall reimburse the Administrative Agent upon demand for all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Benefits</w:t>
      </w:r>
      <w:r>
        <w:rPr>
          <w:rFonts w:ascii="Arial" w:cs="Arial" w:eastAsia="Arial" w:hAnsi="Arial"/>
          <w:sz w:val="16"/>
          <w:szCs w:val="16"/>
          <w:color w:val="auto"/>
        </w:rPr>
        <w:t>. This Amendment shall be binding upon and shall inure to the benefit of the parties hereto and their respective successors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 APPLICABLE TO CONTRACTS EXECUTED, AND TO BE FULLY PERFORMED, IN SUCH STATE.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Effect</w:t>
      </w:r>
      <w:r>
        <w:rPr>
          <w:rFonts w:ascii="Arial" w:cs="Arial" w:eastAsia="Arial" w:hAnsi="Arial"/>
          <w:sz w:val="18"/>
          <w:szCs w:val="18"/>
          <w:color w:val="auto"/>
        </w:rPr>
        <w:t>. Except as expressly herein amended, the terms and conditions of the Credit Agreement and the other Loan Documents remain in full force and effect. The amendments contained herein shall be deemed to have prospective application only from the date as of which this Amendment is dated, unless otherwise specifically stated herein.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w:t>
      </w:r>
    </w:p>
    <w:p>
      <w:pPr>
        <w:spacing w:after="0" w:line="3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otherwise defined herein are used herein with the respective definitions given them in the Credit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ectPr>
          <w:pgSz w:w="11900" w:h="16838" w:orient="portrait"/>
          <w:cols w:equalWidth="0" w:num="1">
            <w:col w:w="11420"/>
          </w:cols>
          <w:pgMar w:left="240" w:top="584" w:right="239" w:bottom="1440" w:gutter="0" w:footer="0" w:header="0"/>
        </w:sectPr>
      </w:pPr>
    </w:p>
    <w:bookmarkStart w:id="156" w:name="page157"/>
    <w:bookmarkEnd w:id="156"/>
    <w:p>
      <w:pPr>
        <w:ind w:left="4240" w:hanging="4767"/>
        <w:spacing w:after="0" w:line="277" w:lineRule="auto"/>
        <w:rPr>
          <w:sz w:val="20"/>
          <w:szCs w:val="20"/>
          <w:color w:val="auto"/>
        </w:rPr>
      </w:pPr>
      <w:r>
        <w:rPr>
          <w:rFonts w:ascii="Arial" w:cs="Arial" w:eastAsia="Arial" w:hAnsi="Arial"/>
          <w:sz w:val="18"/>
          <w:szCs w:val="18"/>
          <w:color w:val="auto"/>
        </w:rPr>
        <w:t>IN WITNESS WHEREOF, the parties hereto have caused this Second Amendment to Term Loan Agreement to be executed as of the date first above written.</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Regency Centers, L.P.</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 Regency Centers Corporation,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pacing w:after="0" w:line="22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Bradley A. Parks</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 Bradley A. Parks</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Regency Centers Corporation</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Bradley A. Parks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Bradley A. Parks</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200"/>
          </w:cols>
          <w:pgMar w:left="1440" w:top="584" w:right="25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Wells Fargo Bank, National Association, as Administrative Agent and as a Lender</w:t>
      </w:r>
    </w:p>
    <w:p>
      <w:pPr>
        <w:spacing w:after="0" w:line="200" w:lineRule="exact"/>
        <w:rPr>
          <w:sz w:val="20"/>
          <w:szCs w:val="20"/>
          <w:color w:val="auto"/>
        </w:rPr>
      </w:pPr>
    </w:p>
    <w:p>
      <w:pPr>
        <w:spacing w:after="0" w:line="26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W. Hussion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Andrew W. Hussion</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PNC BANK, NATIONAL ASSOCIATION, as a Lender</w:t>
      </w:r>
    </w:p>
    <w:p>
      <w:pPr>
        <w:spacing w:after="0" w:line="200" w:lineRule="exact"/>
        <w:rPr>
          <w:sz w:val="20"/>
          <w:szCs w:val="20"/>
          <w:color w:val="auto"/>
        </w:rPr>
      </w:pPr>
    </w:p>
    <w:p>
      <w:pPr>
        <w:spacing w:after="0" w:line="25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Ken Carl</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Ken Carl</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581" w:right="1440" w:bottom="1440"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REGIONS BANK,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E. Burgan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Paul E. Burgan</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SUNTRUST BANK,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Nancy B. Richards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Nancy B. Richards</w:t>
      </w:r>
    </w:p>
    <w:p>
      <w:pPr>
        <w:spacing w:after="0" w:line="9"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1" w:right="1440" w:bottom="1440"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Joseph Hord</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Joseph Hord</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019"/>
          </w:cols>
          <w:pgMar w:left="1440" w:top="580" w:right="1440"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Dunn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Mark Dunn</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BANK OF AMERICA, N.A.,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Asad Rafiq</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Asad Rafiq</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1" w:right="1440" w:bottom="144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JPMORGAN CHASE BANK, N.A.,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Mohammad S. Hasan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Mohammad S. Hasan</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ROYAL BANK OF CANADA, as a Lender</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Dan LePage</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Dan LePage</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SUMITOMO MITSUI BANKING CORPORATION,</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William G. Karl</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William G. Karl</w:t>
      </w:r>
    </w:p>
    <w:p>
      <w:pPr>
        <w:spacing w:after="0" w:line="9"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Term Loan Agreement for Regency Centers, L.P.]</w:t>
      </w:r>
    </w:p>
    <w:p>
      <w:pPr>
        <w:sectPr>
          <w:pgSz w:w="11900" w:h="16838" w:orient="portrait"/>
          <w:cols w:equalWidth="0" w:num="1">
            <w:col w:w="9019"/>
          </w:cols>
          <w:pgMar w:left="1440" w:top="58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COMERICA BANK, as a Lender</w:t>
      </w:r>
    </w:p>
    <w:p>
      <w:pPr>
        <w:spacing w:after="0" w:line="200" w:lineRule="exact"/>
        <w:rPr>
          <w:sz w:val="20"/>
          <w:szCs w:val="20"/>
          <w:color w:val="auto"/>
        </w:rPr>
      </w:pPr>
    </w:p>
    <w:p>
      <w:pPr>
        <w:spacing w:after="0" w:line="25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T. Shea</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Michael T. Shea</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019"/>
          </w:cols>
          <w:pgMar w:left="1440" w:top="581" w:right="1440" w:bottom="1440"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GUARANTOR ACKNOWLEDGEMENT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GUARANTOR ACKNOWLEDGEMENT dated as of June 19, 2012 (this “Acknowledgement”) executed by each of the undersigned (the “Guarantors”) in favor of Wells Fargo Bank, National Association, as Administrative Agent (the “Administrative Agent”), and each “Lender” a party to the Credit Agreement referred to below (the “Lenders”).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Regency Centers, L.P., a Delaware limited partnership (the “Borrower”), Regency Centers Corporation, a Florida corporation (the “Parent”), the Lenders, the Administrative Agent and certain other parties have entered into that certain Term Loan Agreement dated as of November 17, 2011 (as amended, restated, supplemented or otherwise modified from time to time, the “Credit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each of the Guarantors is a party to that certain Guaranty dated as of November 17, 2011 (as amended, restated, supplemented or otherwise modified from time to time, the “Guaranty”) pursuant to which they guarantied, among other things, the Borrower's obligations under the Credit Agreement on the terms and conditions contained in the Guaranty;</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Borrower, the Parent, the Administrative Agent and the Lenders are to enter into a Second Amendment to Term Loan Agreement dated as of the date hereof (the “Amendment”), to amend the terms of the Credit Agreement on the terms and conditions contained therein; 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it is a condition precedent to the effectiveness of the Amendment that the Guarantors execute and deliver this Acknowledgement;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Reaffirmation</w:t>
      </w:r>
      <w:r>
        <w:rPr>
          <w:rFonts w:ascii="Arial" w:cs="Arial" w:eastAsia="Arial" w:hAnsi="Arial"/>
          <w:sz w:val="18"/>
          <w:szCs w:val="18"/>
          <w:color w:val="auto"/>
        </w:rPr>
        <w:t>. Each Guarantor hereby reaffirms its continuing obligations to the Administrative Agent and the Lenders under the Guaranty and agrees that the transactions contemplated by the Amendment shall not in any way affect the validity and enforceability of the Guaranty, or reduce, impair or discharge the obligations of such Guarantor thereunder.</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ACKNOWLEDGEMENT SHALL BE GOVERNED BY, AND CONSTRUED IN ACCORDANCE WITH, THE LAWS OF THE STATE OF NEW YORK APPLICABLE TO CONTRACTS EXECUTED, AND TO BE FULLY PERFORMED, IN SUCH STATE.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Acknowledgement may be executed in any number of counterparts, each of which shall be deemed to be an original and shall be binding upon all parties,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ectPr>
          <w:pgSz w:w="11900" w:h="16838" w:orient="portrait"/>
          <w:cols w:equalWidth="0" w:num="1">
            <w:col w:w="11420"/>
          </w:cols>
          <w:pgMar w:left="240" w:top="585" w:right="239" w:bottom="1440" w:gutter="0" w:footer="0" w:header="0"/>
        </w:sectPr>
      </w:pPr>
    </w:p>
    <w:bookmarkStart w:id="169" w:name="page170"/>
    <w:bookmarkEnd w:id="169"/>
    <w:p>
      <w:pPr>
        <w:ind w:left="4280" w:hanging="4686"/>
        <w:spacing w:after="0" w:line="277" w:lineRule="auto"/>
        <w:rPr>
          <w:sz w:val="20"/>
          <w:szCs w:val="20"/>
          <w:color w:val="auto"/>
        </w:rPr>
      </w:pPr>
      <w:r>
        <w:rPr>
          <w:rFonts w:ascii="Arial" w:cs="Arial" w:eastAsia="Arial" w:hAnsi="Arial"/>
          <w:sz w:val="18"/>
          <w:szCs w:val="18"/>
          <w:color w:val="auto"/>
        </w:rPr>
        <w:t>IN WITNESS WHEREOF, each Guarantor has duly executed and delivered this Guarantor Acknowledgement as of the date and year first written above.</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REGENCY CENTERS CORPORATION</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Bradley A. Parks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Bradley A. Parks</w:t>
      </w:r>
    </w:p>
    <w:p>
      <w:pPr>
        <w:spacing w:after="0" w:line="9"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10080"/>
          </w:cols>
          <w:pgMar w:left="1440" w:top="584" w:right="37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Regency Centers Corporation and Regency Centers,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w w:val="91"/>
              </w:rPr>
              <w:t>Year Ended December 31,</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3"/>
                <w:szCs w:val="23"/>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13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3"/>
                <w:szCs w:val="23"/>
                <w:color w:val="auto"/>
              </w:rPr>
            </w:pPr>
          </w:p>
        </w:tc>
        <w:tc>
          <w:tcPr>
            <w:tcW w:w="1080" w:type="dxa"/>
            <w:vAlign w:val="bottom"/>
          </w:tcPr>
          <w:p>
            <w:pPr>
              <w:jc w:val="right"/>
              <w:ind w:right="300"/>
              <w:spacing w:after="0"/>
              <w:rPr>
                <w:sz w:val="20"/>
                <w:szCs w:val="20"/>
                <w:color w:val="auto"/>
              </w:rPr>
            </w:pPr>
            <w:r>
              <w:rPr>
                <w:rFonts w:ascii="Arial" w:cs="Arial" w:eastAsia="Arial" w:hAnsi="Arial"/>
                <w:sz w:val="16"/>
                <w:szCs w:val="16"/>
                <w:b w:val="1"/>
                <w:bCs w:val="1"/>
                <w:color w:val="auto"/>
              </w:rPr>
              <w:t>2009</w:t>
            </w:r>
          </w:p>
        </w:tc>
        <w:tc>
          <w:tcPr>
            <w:tcW w:w="340" w:type="dxa"/>
            <w:vAlign w:val="bottom"/>
          </w:tcPr>
          <w:p>
            <w:pPr>
              <w:spacing w:after="0"/>
              <w:rPr>
                <w:sz w:val="23"/>
                <w:szCs w:val="23"/>
                <w:color w:val="auto"/>
              </w:rPr>
            </w:pPr>
          </w:p>
        </w:tc>
        <w:tc>
          <w:tcPr>
            <w:tcW w:w="108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Coverage Ratio:</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800" w:type="dxa"/>
            <w:vAlign w:val="bottom"/>
          </w:tcPr>
          <w:p>
            <w:pPr>
              <w:ind w:left="160"/>
              <w:spacing w:after="0"/>
              <w:rPr>
                <w:sz w:val="20"/>
                <w:szCs w:val="20"/>
                <w:color w:val="auto"/>
              </w:rPr>
            </w:pPr>
            <w:r>
              <w:rPr>
                <w:rFonts w:ascii="Arial" w:cs="Arial" w:eastAsia="Arial" w:hAnsi="Arial"/>
                <w:sz w:val="16"/>
                <w:szCs w:val="16"/>
                <w:color w:val="auto"/>
                <w:w w:val="98"/>
              </w:rPr>
              <w:t>Add: pre-tax income from continuing operations before adjustment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Arial" w:cs="Arial" w:eastAsia="Arial" w:hAnsi="Arial"/>
                <w:sz w:val="16"/>
                <w:szCs w:val="16"/>
                <w:color w:val="auto"/>
                <w:w w:val="95"/>
              </w:rPr>
              <w:t>for income or loss from equity investees and noncontrolling interests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00" w:type="dxa"/>
            <w:vAlign w:val="bottom"/>
          </w:tcPr>
          <w:p>
            <w:pPr>
              <w:ind w:left="160"/>
              <w:spacing w:after="0"/>
              <w:rPr>
                <w:sz w:val="20"/>
                <w:szCs w:val="20"/>
                <w:color w:val="auto"/>
              </w:rPr>
            </w:pPr>
            <w:r>
              <w:rPr>
                <w:rFonts w:ascii="Arial" w:cs="Arial" w:eastAsia="Arial" w:hAnsi="Arial"/>
                <w:sz w:val="16"/>
                <w:szCs w:val="16"/>
                <w:color w:val="auto"/>
              </w:rPr>
              <w:t>in consolidated subsidiaries</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41,099</w:t>
            </w:r>
          </w:p>
        </w:tc>
        <w:tc>
          <w:tcPr>
            <w:tcW w:w="1340" w:type="dxa"/>
            <w:vAlign w:val="bottom"/>
            <w:gridSpan w:val="3"/>
          </w:tcPr>
          <w:p>
            <w:pPr>
              <w:jc w:val="right"/>
              <w:ind w:right="139"/>
              <w:spacing w:after="0"/>
              <w:rPr>
                <w:sz w:val="20"/>
                <w:szCs w:val="20"/>
                <w:color w:val="auto"/>
              </w:rPr>
            </w:pPr>
            <w:r>
              <w:rPr>
                <w:rFonts w:ascii="Arial" w:cs="Arial" w:eastAsia="Arial" w:hAnsi="Arial"/>
                <w:sz w:val="16"/>
                <w:szCs w:val="16"/>
                <w:color w:val="auto"/>
              </w:rPr>
              <w:t>15,650</w:t>
            </w:r>
          </w:p>
        </w:tc>
        <w:tc>
          <w:tcPr>
            <w:tcW w:w="100" w:type="dxa"/>
            <w:vAlign w:val="bottom"/>
          </w:tcPr>
          <w:p>
            <w:pPr>
              <w:spacing w:after="0"/>
              <w:rPr>
                <w:sz w:val="17"/>
                <w:szCs w:val="17"/>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(14,939)</w:t>
            </w:r>
          </w:p>
        </w:tc>
        <w:tc>
          <w:tcPr>
            <w:tcW w:w="34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123,963</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 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143,851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153,648</w:t>
            </w:r>
          </w:p>
        </w:tc>
        <w:tc>
          <w:tcPr>
            <w:tcW w:w="13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158,560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157,888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159,192</w:t>
            </w:r>
          </w:p>
        </w:tc>
        <w:tc>
          <w:tcPr>
            <w:tcW w:w="0" w:type="dxa"/>
            <w:vAlign w:val="bottom"/>
          </w:tcPr>
          <w:p>
            <w:pPr>
              <w:spacing w:after="0"/>
              <w:rPr>
                <w:sz w:val="1"/>
                <w:szCs w:val="1"/>
                <w:color w:val="auto"/>
              </w:rPr>
            </w:pPr>
          </w:p>
        </w:tc>
      </w:tr>
      <w:tr>
        <w:trPr>
          <w:trHeight w:val="237"/>
        </w:trPr>
        <w:tc>
          <w:tcPr>
            <w:tcW w:w="4800" w:type="dxa"/>
            <w:vAlign w:val="bottom"/>
          </w:tcPr>
          <w:p>
            <w:pPr>
              <w:ind w:left="160"/>
              <w:spacing w:after="0"/>
              <w:rPr>
                <w:sz w:val="20"/>
                <w:szCs w:val="20"/>
                <w:color w:val="auto"/>
              </w:rPr>
            </w:pPr>
            <w:r>
              <w:rPr>
                <w:rFonts w:ascii="Arial" w:cs="Arial" w:eastAsia="Arial" w:hAnsi="Arial"/>
                <w:sz w:val="16"/>
                <w:szCs w:val="16"/>
                <w:color w:val="auto"/>
              </w:rPr>
              <w:t>Add: distributed income of equity investees</w:t>
            </w:r>
          </w:p>
        </w:tc>
        <w:tc>
          <w:tcPr>
            <w:tcW w:w="280" w:type="dxa"/>
            <w:vAlign w:val="bottom"/>
          </w:tcPr>
          <w:p>
            <w:pPr>
              <w:spacing w:after="0"/>
              <w:rPr>
                <w:sz w:val="20"/>
                <w:szCs w:val="20"/>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44,809</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43,361</w:t>
            </w:r>
          </w:p>
        </w:tc>
        <w:tc>
          <w:tcPr>
            <w:tcW w:w="1340" w:type="dxa"/>
            <w:vAlign w:val="bottom"/>
            <w:gridSpan w:val="3"/>
          </w:tcPr>
          <w:p>
            <w:pPr>
              <w:jc w:val="right"/>
              <w:ind w:right="139"/>
              <w:spacing w:after="0"/>
              <w:rPr>
                <w:sz w:val="20"/>
                <w:szCs w:val="20"/>
                <w:color w:val="auto"/>
              </w:rPr>
            </w:pPr>
            <w:r>
              <w:rPr>
                <w:rFonts w:ascii="Arial" w:cs="Arial" w:eastAsia="Arial" w:hAnsi="Arial"/>
                <w:sz w:val="16"/>
                <w:szCs w:val="16"/>
                <w:color w:val="auto"/>
              </w:rPr>
              <w:t>41,054</w:t>
            </w:r>
          </w:p>
        </w:tc>
        <w:tc>
          <w:tcPr>
            <w:tcW w:w="100" w:type="dxa"/>
            <w:vAlign w:val="bottom"/>
          </w:tcPr>
          <w:p>
            <w:pPr>
              <w:spacing w:after="0"/>
              <w:rPr>
                <w:sz w:val="20"/>
                <w:szCs w:val="20"/>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31,252</w:t>
            </w:r>
          </w:p>
        </w:tc>
        <w:tc>
          <w:tcPr>
            <w:tcW w:w="3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30,730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Subtract: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3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(19,062)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(36,511)</w:t>
            </w:r>
          </w:p>
        </w:tc>
        <w:tc>
          <w:tcPr>
            <w:tcW w:w="0" w:type="dxa"/>
            <w:vAlign w:val="bottom"/>
          </w:tcPr>
          <w:p>
            <w:pPr>
              <w:spacing w:after="0"/>
              <w:rPr>
                <w:sz w:val="1"/>
                <w:szCs w:val="1"/>
                <w:color w:val="auto"/>
              </w:rPr>
            </w:pPr>
          </w:p>
        </w:tc>
      </w:tr>
      <w:tr>
        <w:trPr>
          <w:trHeight w:val="237"/>
        </w:trPr>
        <w:tc>
          <w:tcPr>
            <w:tcW w:w="4800" w:type="dxa"/>
            <w:vAlign w:val="bottom"/>
          </w:tcPr>
          <w:p>
            <w:pPr>
              <w:ind w:left="160"/>
              <w:spacing w:after="0"/>
              <w:rPr>
                <w:sz w:val="20"/>
                <w:szCs w:val="20"/>
                <w:color w:val="auto"/>
              </w:rPr>
            </w:pPr>
            <w:r>
              <w:rPr>
                <w:rFonts w:ascii="Arial" w:cs="Arial" w:eastAsia="Arial" w:hAnsi="Arial"/>
                <w:sz w:val="16"/>
                <w:szCs w:val="16"/>
                <w:color w:val="auto"/>
              </w:rPr>
              <w:t>Subtract: preferred stock dividends / preferred unit distributions</w:t>
            </w:r>
          </w:p>
        </w:tc>
        <w:tc>
          <w:tcPr>
            <w:tcW w:w="2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(23,658)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(23,400)</w:t>
            </w:r>
          </w:p>
        </w:tc>
        <w:tc>
          <w:tcPr>
            <w:tcW w:w="1340" w:type="dxa"/>
            <w:vAlign w:val="bottom"/>
            <w:gridSpan w:val="3"/>
          </w:tcPr>
          <w:p>
            <w:pPr>
              <w:jc w:val="right"/>
              <w:ind w:right="79"/>
              <w:spacing w:after="0"/>
              <w:rPr>
                <w:sz w:val="20"/>
                <w:szCs w:val="20"/>
                <w:color w:val="auto"/>
              </w:rPr>
            </w:pPr>
            <w:r>
              <w:rPr>
                <w:rFonts w:ascii="Arial" w:cs="Arial" w:eastAsia="Arial" w:hAnsi="Arial"/>
                <w:sz w:val="16"/>
                <w:szCs w:val="16"/>
                <w:color w:val="auto"/>
              </w:rPr>
              <w:t>(23,400)</w:t>
            </w:r>
          </w:p>
        </w:tc>
        <w:tc>
          <w:tcPr>
            <w:tcW w:w="10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(23,400)</w:t>
            </w:r>
          </w:p>
        </w:tc>
        <w:tc>
          <w:tcPr>
            <w:tcW w:w="340" w:type="dxa"/>
            <w:vAlign w:val="bottom"/>
          </w:tcPr>
          <w:p>
            <w:pPr>
              <w:spacing w:after="0"/>
              <w:rPr>
                <w:sz w:val="20"/>
                <w:szCs w:val="20"/>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(23,400)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Subtract: noncontrolling interest in pre-tax income of subsidiaries that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have not incurred fixed charges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3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(59)</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4800" w:type="dxa"/>
            <w:vAlign w:val="bottom"/>
          </w:tcPr>
          <w:p>
            <w:pPr>
              <w:ind w:left="380"/>
              <w:spacing w:after="0"/>
              <w:rPr>
                <w:sz w:val="20"/>
                <w:szCs w:val="20"/>
                <w:color w:val="auto"/>
              </w:rPr>
            </w:pPr>
            <w:r>
              <w:rPr>
                <w:rFonts w:ascii="Arial" w:cs="Arial" w:eastAsia="Arial" w:hAnsi="Arial"/>
                <w:sz w:val="16"/>
                <w:szCs w:val="16"/>
                <w:color w:val="auto"/>
              </w:rPr>
              <w:t>Earnings</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153,284</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213,173</w:t>
            </w: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186,699</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131,680</w:t>
            </w:r>
          </w:p>
        </w:tc>
        <w:tc>
          <w:tcPr>
            <w:tcW w:w="340" w:type="dxa"/>
            <w:vAlign w:val="bottom"/>
          </w:tcPr>
          <w:p>
            <w:pPr>
              <w:spacing w:after="0"/>
              <w:rPr>
                <w:sz w:val="18"/>
                <w:szCs w:val="18"/>
                <w:color w:val="auto"/>
              </w:rPr>
            </w:pPr>
          </w:p>
        </w:tc>
        <w:tc>
          <w:tcPr>
            <w:tcW w:w="10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253,933</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6"/>
                <w:szCs w:val="16"/>
                <w:color w:val="auto"/>
              </w:rPr>
              <w:t>Fixed Charge Data:</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expensed and capitalized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114,198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124,707</w:t>
            </w:r>
          </w:p>
        </w:tc>
        <w:tc>
          <w:tcPr>
            <w:tcW w:w="13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129,837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128,551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131,009</w:t>
            </w:r>
          </w:p>
        </w:tc>
        <w:tc>
          <w:tcPr>
            <w:tcW w:w="0" w:type="dxa"/>
            <w:vAlign w:val="bottom"/>
          </w:tcPr>
          <w:p>
            <w:pPr>
              <w:spacing w:after="0"/>
              <w:rPr>
                <w:sz w:val="1"/>
                <w:szCs w:val="1"/>
                <w:color w:val="auto"/>
              </w:rPr>
            </w:pPr>
          </w:p>
        </w:tc>
      </w:tr>
      <w:tr>
        <w:trPr>
          <w:trHeight w:val="220"/>
        </w:trPr>
        <w:tc>
          <w:tcPr>
            <w:tcW w:w="4800" w:type="dxa"/>
            <w:vAlign w:val="bottom"/>
          </w:tcPr>
          <w:p>
            <w:pPr>
              <w:ind w:left="160"/>
              <w:spacing w:after="0"/>
              <w:rPr>
                <w:sz w:val="20"/>
                <w:szCs w:val="20"/>
                <w:color w:val="auto"/>
              </w:rPr>
            </w:pPr>
            <w:r>
              <w:rPr>
                <w:rFonts w:ascii="Arial" w:cs="Arial" w:eastAsia="Arial" w:hAnsi="Arial"/>
                <w:sz w:val="16"/>
                <w:szCs w:val="16"/>
                <w:color w:val="auto"/>
                <w:w w:val="96"/>
              </w:rPr>
              <w:t>Amortized premiums, discounts and capitalized expenses related to</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00" w:type="dxa"/>
            <w:vAlign w:val="bottom"/>
          </w:tcPr>
          <w:p>
            <w:pPr>
              <w:ind w:left="160"/>
              <w:spacing w:after="0"/>
              <w:rPr>
                <w:sz w:val="20"/>
                <w:szCs w:val="20"/>
                <w:color w:val="auto"/>
              </w:rPr>
            </w:pPr>
            <w:r>
              <w:rPr>
                <w:rFonts w:ascii="Arial" w:cs="Arial" w:eastAsia="Arial" w:hAnsi="Arial"/>
                <w:sz w:val="16"/>
                <w:szCs w:val="16"/>
                <w:color w:val="auto"/>
              </w:rPr>
              <w:t>indebtedness</w:t>
            </w:r>
          </w:p>
        </w:tc>
        <w:tc>
          <w:tcPr>
            <w:tcW w:w="280" w:type="dxa"/>
            <w:vAlign w:val="bottom"/>
          </w:tcPr>
          <w:p>
            <w:pPr>
              <w:spacing w:after="0"/>
              <w:rPr>
                <w:sz w:val="17"/>
                <w:szCs w:val="17"/>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3,292</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2,860</w:t>
            </w:r>
          </w:p>
        </w:tc>
        <w:tc>
          <w:tcPr>
            <w:tcW w:w="1340" w:type="dxa"/>
            <w:vAlign w:val="bottom"/>
            <w:gridSpan w:val="3"/>
          </w:tcPr>
          <w:p>
            <w:pPr>
              <w:jc w:val="right"/>
              <w:ind w:right="139"/>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3,517</w:t>
            </w:r>
          </w:p>
        </w:tc>
        <w:tc>
          <w:tcPr>
            <w:tcW w:w="34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Estimate of the interest within rental expense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3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2,420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237"/>
        </w:trPr>
        <w:tc>
          <w:tcPr>
            <w:tcW w:w="4800" w:type="dxa"/>
            <w:vAlign w:val="bottom"/>
          </w:tcPr>
          <w:p>
            <w:pPr>
              <w:ind w:left="160"/>
              <w:spacing w:after="0"/>
              <w:rPr>
                <w:sz w:val="20"/>
                <w:szCs w:val="20"/>
                <w:color w:val="auto"/>
              </w:rPr>
            </w:pPr>
            <w:r>
              <w:rPr>
                <w:rFonts w:ascii="Arial" w:cs="Arial" w:eastAsia="Arial" w:hAnsi="Arial"/>
                <w:sz w:val="16"/>
                <w:szCs w:val="16"/>
                <w:color w:val="auto"/>
              </w:rPr>
              <w:t>Preferred stock dividends / preferred unit distributions</w:t>
            </w:r>
          </w:p>
        </w:tc>
        <w:tc>
          <w:tcPr>
            <w:tcW w:w="280" w:type="dxa"/>
            <w:vAlign w:val="bottom"/>
          </w:tcPr>
          <w:p>
            <w:pPr>
              <w:spacing w:after="0"/>
              <w:rPr>
                <w:sz w:val="20"/>
                <w:szCs w:val="20"/>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23,658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23,400</w:t>
            </w:r>
          </w:p>
        </w:tc>
        <w:tc>
          <w:tcPr>
            <w:tcW w:w="1340" w:type="dxa"/>
            <w:vAlign w:val="bottom"/>
            <w:gridSpan w:val="3"/>
          </w:tcPr>
          <w:p>
            <w:pPr>
              <w:jc w:val="right"/>
              <w:ind w:right="139"/>
              <w:spacing w:after="0"/>
              <w:rPr>
                <w:sz w:val="20"/>
                <w:szCs w:val="20"/>
                <w:color w:val="auto"/>
              </w:rPr>
            </w:pPr>
            <w:r>
              <w:rPr>
                <w:rFonts w:ascii="Arial" w:cs="Arial" w:eastAsia="Arial" w:hAnsi="Arial"/>
                <w:sz w:val="16"/>
                <w:szCs w:val="16"/>
                <w:color w:val="auto"/>
              </w:rPr>
              <w:t>23,400</w:t>
            </w:r>
          </w:p>
        </w:tc>
        <w:tc>
          <w:tcPr>
            <w:tcW w:w="100" w:type="dxa"/>
            <w:vAlign w:val="bottom"/>
          </w:tcPr>
          <w:p>
            <w:pPr>
              <w:spacing w:after="0"/>
              <w:rPr>
                <w:sz w:val="20"/>
                <w:szCs w:val="20"/>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23,400</w:t>
            </w:r>
          </w:p>
        </w:tc>
        <w:tc>
          <w:tcPr>
            <w:tcW w:w="3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23,400</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fixed charges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143,850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153,647</w:t>
            </w:r>
          </w:p>
        </w:tc>
        <w:tc>
          <w:tcPr>
            <w:tcW w:w="13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158,560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157,888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159,192</w:t>
            </w:r>
          </w:p>
        </w:tc>
        <w:tc>
          <w:tcPr>
            <w:tcW w:w="0" w:type="dxa"/>
            <w:vAlign w:val="bottom"/>
          </w:tcPr>
          <w:p>
            <w:pPr>
              <w:spacing w:after="0"/>
              <w:rPr>
                <w:sz w:val="1"/>
                <w:szCs w:val="1"/>
                <w:color w:val="auto"/>
              </w:rPr>
            </w:pPr>
          </w:p>
        </w:tc>
      </w:tr>
      <w:tr>
        <w:trPr>
          <w:trHeight w:val="318"/>
        </w:trPr>
        <w:tc>
          <w:tcPr>
            <w:tcW w:w="48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Ratio of earnings to fixed charges</w:t>
            </w: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1.4</w:t>
            </w:r>
          </w:p>
        </w:tc>
        <w:tc>
          <w:tcPr>
            <w:tcW w:w="1340" w:type="dxa"/>
            <w:vAlign w:val="bottom"/>
            <w:gridSpan w:val="3"/>
            <w:shd w:val="clear" w:color="auto" w:fill="CCEEFF"/>
          </w:tcPr>
          <w:p>
            <w:pPr>
              <w:jc w:val="right"/>
              <w:ind w:right="139"/>
              <w:spacing w:after="0" w:line="12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0.8</w:t>
            </w:r>
          </w:p>
        </w:tc>
        <w:tc>
          <w:tcPr>
            <w:tcW w:w="3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(1 )</w:t>
            </w:r>
          </w:p>
        </w:tc>
        <w:tc>
          <w:tcPr>
            <w:tcW w:w="1080" w:type="dxa"/>
            <w:vAlign w:val="bottom"/>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2"/>
        </w:trPr>
        <w:tc>
          <w:tcPr>
            <w:tcW w:w="4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vMerge w:val="continue"/>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480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8890</wp:posOffset>
            </wp:positionV>
            <wp:extent cx="38334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ind w:right="500" w:firstLine="8"/>
        <w:spacing w:after="0" w:line="246" w:lineRule="auto"/>
        <w:tabs>
          <w:tab w:leader="none" w:pos="167"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color w:val="auto"/>
        </w:rPr>
        <w:t>The Company's ratio of earnings to fixed charges was deficient in 2009 by $26.2 million in earnings, due to significant non-cash charges for impairment of real estate investments of $97.5 million,</w:t>
      </w:r>
    </w:p>
    <w:p>
      <w:pPr>
        <w:sectPr>
          <w:pgSz w:w="11900" w:h="16838" w:orient="portrait"/>
          <w:cols w:equalWidth="0" w:num="1">
            <w:col w:w="11420"/>
          </w:cols>
          <w:pgMar w:left="240" w:top="580"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80" w:type="dxa"/>
            <w:vAlign w:val="bottom"/>
            <w:gridSpan w:val="2"/>
          </w:tcPr>
          <w:p>
            <w:pPr>
              <w:ind w:left="980"/>
              <w:spacing w:after="0"/>
              <w:rPr>
                <w:sz w:val="20"/>
                <w:szCs w:val="20"/>
                <w:color w:val="auto"/>
              </w:rPr>
            </w:pPr>
            <w:r>
              <w:rPr>
                <w:rFonts w:ascii="Arial" w:cs="Arial" w:eastAsia="Arial" w:hAnsi="Arial"/>
                <w:sz w:val="18"/>
                <w:szCs w:val="18"/>
                <w:b w:val="1"/>
                <w:bCs w:val="1"/>
                <w:color w:val="auto"/>
                <w:w w:val="91"/>
              </w:rPr>
              <w:t>Exhibit 21</w:t>
            </w:r>
          </w:p>
        </w:tc>
      </w:tr>
      <w:tr>
        <w:trPr>
          <w:trHeight w:val="378"/>
        </w:trPr>
        <w:tc>
          <w:tcPr>
            <w:tcW w:w="3080" w:type="dxa"/>
            <w:vAlign w:val="bottom"/>
          </w:tcPr>
          <w:p>
            <w:pPr>
              <w:spacing w:after="0"/>
              <w:rPr>
                <w:sz w:val="24"/>
                <w:szCs w:val="24"/>
                <w:color w:val="auto"/>
              </w:rPr>
            </w:pPr>
          </w:p>
        </w:tc>
        <w:tc>
          <w:tcPr>
            <w:tcW w:w="456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9"/>
              </w:rPr>
              <w:t>REGENCY CENTERS CORPORATION</w:t>
            </w:r>
          </w:p>
        </w:tc>
        <w:tc>
          <w:tcPr>
            <w:tcW w:w="1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80" w:type="dxa"/>
            <w:vAlign w:val="bottom"/>
          </w:tcPr>
          <w:p>
            <w:pPr>
              <w:jc w:val="center"/>
              <w:ind w:right="530"/>
              <w:spacing w:after="0"/>
              <w:rPr>
                <w:sz w:val="20"/>
                <w:szCs w:val="20"/>
                <w:color w:val="auto"/>
              </w:rPr>
            </w:pPr>
            <w:r>
              <w:rPr>
                <w:rFonts w:ascii="Arial" w:cs="Arial" w:eastAsia="Arial" w:hAnsi="Arial"/>
                <w:sz w:val="18"/>
                <w:szCs w:val="18"/>
                <w:b w:val="1"/>
                <w:bCs w:val="1"/>
                <w:color w:val="auto"/>
                <w:w w:val="87"/>
              </w:rPr>
              <w:t>Subsidiaries</w:t>
            </w:r>
          </w:p>
        </w:tc>
        <w:tc>
          <w:tcPr>
            <w:tcW w:w="19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73"/>
        </w:trPr>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3"/>
              </w:rPr>
              <w:t>Nature of</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34"/>
        </w:trPr>
        <w:tc>
          <w:tcPr>
            <w:tcW w:w="3080" w:type="dxa"/>
            <w:vAlign w:val="bottom"/>
          </w:tcPr>
          <w:p>
            <w:pPr>
              <w:ind w:left="1300"/>
              <w:spacing w:after="0"/>
              <w:rPr>
                <w:sz w:val="20"/>
                <w:szCs w:val="20"/>
                <w:color w:val="auto"/>
              </w:rPr>
            </w:pPr>
            <w:r>
              <w:rPr>
                <w:rFonts w:ascii="Arial" w:cs="Arial" w:eastAsia="Arial" w:hAnsi="Arial"/>
                <w:sz w:val="18"/>
                <w:szCs w:val="18"/>
                <w:b w:val="1"/>
                <w:bCs w:val="1"/>
                <w:color w:val="auto"/>
              </w:rPr>
              <w:t>Entity</w:t>
            </w:r>
          </w:p>
        </w:tc>
        <w:tc>
          <w:tcPr>
            <w:tcW w:w="1280" w:type="dxa"/>
            <w:vAlign w:val="bottom"/>
          </w:tcPr>
          <w:p>
            <w:pPr>
              <w:ind w:left="220"/>
              <w:spacing w:after="0"/>
              <w:rPr>
                <w:sz w:val="20"/>
                <w:szCs w:val="20"/>
                <w:color w:val="auto"/>
              </w:rPr>
            </w:pPr>
            <w:r>
              <w:rPr>
                <w:rFonts w:ascii="Arial" w:cs="Arial" w:eastAsia="Arial" w:hAnsi="Arial"/>
                <w:sz w:val="18"/>
                <w:szCs w:val="18"/>
                <w:b w:val="1"/>
                <w:bCs w:val="1"/>
                <w:color w:val="auto"/>
              </w:rPr>
              <w:t>Jurisdiction</w:t>
            </w:r>
          </w:p>
        </w:tc>
        <w:tc>
          <w:tcPr>
            <w:tcW w:w="3280" w:type="dxa"/>
            <w:vAlign w:val="bottom"/>
          </w:tcPr>
          <w:p>
            <w:pPr>
              <w:ind w:left="1280"/>
              <w:spacing w:after="0"/>
              <w:rPr>
                <w:sz w:val="20"/>
                <w:szCs w:val="20"/>
                <w:color w:val="auto"/>
              </w:rPr>
            </w:pPr>
            <w:r>
              <w:rPr>
                <w:rFonts w:ascii="Arial" w:cs="Arial" w:eastAsia="Arial" w:hAnsi="Arial"/>
                <w:sz w:val="18"/>
                <w:szCs w:val="18"/>
                <w:b w:val="1"/>
                <w:bCs w:val="1"/>
                <w:color w:val="auto"/>
              </w:rPr>
              <w:t>Owner(s)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7"/>
        </w:trPr>
        <w:tc>
          <w:tcPr>
            <w:tcW w:w="3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3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Regency Centers Corporation</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General Partner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99.0%</w:t>
            </w:r>
          </w:p>
        </w:tc>
        <w:tc>
          <w:tcPr>
            <w:tcW w:w="20" w:type="dxa"/>
            <w:vAlign w:val="bottom"/>
          </w:tcPr>
          <w:p>
            <w:pPr>
              <w:spacing w:after="0"/>
              <w:rPr>
                <w:sz w:val="19"/>
                <w:szCs w:val="19"/>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Centers, L.P.</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Outside Investors</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Limited Partners</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20"/>
                <w:szCs w:val="20"/>
                <w:color w:val="auto"/>
              </w:rPr>
            </w:pPr>
          </w:p>
        </w:tc>
      </w:tr>
      <w:tr>
        <w:trPr>
          <w:trHeight w:val="324"/>
        </w:trPr>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MCW-RC FL-Anastasia,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MCW-RC FL-King's, LLC (fka MCW-</w:t>
            </w:r>
          </w:p>
        </w:tc>
        <w:tc>
          <w:tcPr>
            <w:tcW w:w="1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RC Florida,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MCW-RC FL-Shoppes at 104,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MCW-RC GA-Howell Mill Village, LLC 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MCD-RC CA-Amerige,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MCD-RC El Cerrito Holdings,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MCD-RC CA-El Cerrito,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MCD-RC El Cerrito Holdings, LLC</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REG8 Member,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REG8 Tassajara Crossing,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REG8 Plaza Hermosa,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REG8 Sequoia Station,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REG8 Mockingbird Commons,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REG8 Sterling Ridge,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REG8 Prestonbrook Crossing,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REG8 Wellington,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REG8 Berkshire Commons,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REG8 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FL-Corkscrew Village Member,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FL-Corkscrew Village,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FL-Corkscrew Village 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FL-Crossroads Shopping Center Member,</w:t>
            </w:r>
          </w:p>
        </w:tc>
        <w:tc>
          <w:tcPr>
            <w:tcW w:w="12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r>
      <w:tr>
        <w:trPr>
          <w:trHeight w:val="229"/>
        </w:trPr>
        <w:tc>
          <w:tcPr>
            <w:tcW w:w="3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FL-Crossroads Shopping Center</w:t>
            </w:r>
          </w:p>
        </w:tc>
        <w:tc>
          <w:tcPr>
            <w:tcW w:w="1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FL-Crossroads Shopping Center,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FL-Naples Walk Shopping Center</w:t>
            </w:r>
          </w:p>
        </w:tc>
        <w:tc>
          <w:tcPr>
            <w:tcW w:w="12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r>
      <w:tr>
        <w:trPr>
          <w:trHeight w:val="229"/>
        </w:trPr>
        <w:tc>
          <w:tcPr>
            <w:tcW w:w="3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FL-Naples Walk Shopping Center</w:t>
            </w:r>
          </w:p>
        </w:tc>
        <w:tc>
          <w:tcPr>
            <w:tcW w:w="1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w w:val="97"/>
              </w:rPr>
              <w:t>FL-Naples Walk Shopping Center,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FL-Northgate Square Member,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FL-Northgate Square,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FL-Northgate Square Member,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30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3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20" w:type="dxa"/>
            <w:vAlign w:val="bottom"/>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4S Regency Partners, LLC</w:t>
            </w:r>
          </w:p>
        </w:tc>
        <w:tc>
          <w:tcPr>
            <w:tcW w:w="1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Pr>
          <w:p>
            <w:pPr>
              <w:ind w:left="120"/>
              <w:spacing w:after="0"/>
              <w:rPr>
                <w:sz w:val="20"/>
                <w:szCs w:val="20"/>
                <w:color w:val="auto"/>
              </w:rPr>
            </w:pPr>
            <w:r>
              <w:rPr>
                <w:rFonts w:ascii="Arial" w:cs="Arial" w:eastAsia="Arial" w:hAnsi="Arial"/>
                <w:sz w:val="18"/>
                <w:szCs w:val="18"/>
                <w:color w:val="auto"/>
              </w:rPr>
              <w:t>4S Ranch Company 1700, L.P.</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2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3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Alba Village Regency, LLC</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Northgate Center Phase I, LLC</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Interests Vary</w:t>
            </w:r>
          </w:p>
        </w:tc>
        <w:tc>
          <w:tcPr>
            <w:tcW w:w="20" w:type="dxa"/>
            <w:vAlign w:val="bottom"/>
          </w:tcPr>
          <w:p>
            <w:pPr>
              <w:spacing w:after="0"/>
              <w:rPr>
                <w:sz w:val="20"/>
                <w:szCs w:val="20"/>
                <w:color w:val="auto"/>
              </w:rPr>
            </w:pPr>
          </w:p>
        </w:tc>
      </w:tr>
      <w:tr>
        <w:trPr>
          <w:trHeight w:val="459"/>
        </w:trPr>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80" w:type="dxa"/>
            <w:vAlign w:val="bottom"/>
          </w:tcPr>
          <w:p>
            <w:pPr>
              <w:jc w:val="center"/>
              <w:ind w:right="530"/>
              <w:spacing w:after="0"/>
              <w:rPr>
                <w:sz w:val="20"/>
                <w:szCs w:val="20"/>
                <w:color w:val="auto"/>
              </w:rPr>
            </w:pPr>
            <w:r>
              <w:rPr>
                <w:rFonts w:ascii="Arial" w:cs="Arial" w:eastAsia="Arial" w:hAnsi="Arial"/>
                <w:sz w:val="18"/>
                <w:szCs w:val="18"/>
                <w:color w:val="auto"/>
                <w:w w:val="99"/>
              </w:rPr>
              <w:t>1</w:t>
            </w:r>
          </w:p>
        </w:tc>
        <w:tc>
          <w:tcPr>
            <w:tcW w:w="1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60" w:top="580"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REGENCY CENTERS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1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Nature of</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34"/>
        </w:trPr>
        <w:tc>
          <w:tcPr>
            <w:tcW w:w="3020" w:type="dxa"/>
            <w:vAlign w:val="bottom"/>
          </w:tcPr>
          <w:p>
            <w:pPr>
              <w:ind w:left="1300"/>
              <w:spacing w:after="0"/>
              <w:rPr>
                <w:sz w:val="20"/>
                <w:szCs w:val="20"/>
                <w:color w:val="auto"/>
              </w:rPr>
            </w:pPr>
            <w:r>
              <w:rPr>
                <w:rFonts w:ascii="Arial" w:cs="Arial" w:eastAsia="Arial" w:hAnsi="Arial"/>
                <w:sz w:val="18"/>
                <w:szCs w:val="18"/>
                <w:b w:val="1"/>
                <w:bCs w:val="1"/>
                <w:color w:val="auto"/>
              </w:rPr>
              <w:t>Entity</w:t>
            </w: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Jurisdiction</w:t>
            </w:r>
          </w:p>
        </w:tc>
        <w:tc>
          <w:tcPr>
            <w:tcW w:w="3100" w:type="dxa"/>
            <w:vAlign w:val="bottom"/>
          </w:tcPr>
          <w:p>
            <w:pPr>
              <w:ind w:left="1280"/>
              <w:spacing w:after="0"/>
              <w:rPr>
                <w:sz w:val="20"/>
                <w:szCs w:val="20"/>
                <w:color w:val="auto"/>
              </w:rPr>
            </w:pPr>
            <w:r>
              <w:rPr>
                <w:rFonts w:ascii="Arial" w:cs="Arial" w:eastAsia="Arial" w:hAnsi="Arial"/>
                <w:sz w:val="18"/>
                <w:szCs w:val="18"/>
                <w:b w:val="1"/>
                <w:bCs w:val="1"/>
                <w:color w:val="auto"/>
              </w:rPr>
              <w:t>Owner(s)</w:t>
            </w:r>
          </w:p>
        </w:tc>
        <w:tc>
          <w:tcPr>
            <w:tcW w:w="21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Interest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7"/>
        </w:trPr>
        <w:tc>
          <w:tcPr>
            <w:tcW w:w="3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Applegate Ranch,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Beacon Lakes Marketplace,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Belleview Square,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Bridges Insurance Company</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South Carolina</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Shareholder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Buckwalter Bluffton,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Clayton Valley Shopping Center,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Colonnade Regency,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Corvallis Market Center,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Deer Springs Town Center,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3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shd w:val="clear" w:color="auto" w:fill="CCEEFF"/>
          </w:tcPr>
          <w:p>
            <w:pPr>
              <w:spacing w:after="0"/>
              <w:rPr>
                <w:sz w:val="19"/>
                <w:szCs w:val="19"/>
                <w:color w:val="auto"/>
              </w:rPr>
            </w:pPr>
          </w:p>
        </w:tc>
      </w:tr>
      <w:tr>
        <w:trPr>
          <w:trHeight w:val="237"/>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Fairfax Regency,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 Donegan Company</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Varies</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Fairhope,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Fortuna Regency Phase II,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FV Commons,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Gateway Azco GP,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Gateway Azco LP,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3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Gateway Azco Partners GP, LLC</w:t>
            </w:r>
          </w:p>
        </w:tc>
        <w:tc>
          <w:tcPr>
            <w:tcW w:w="2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General Partner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37"/>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AZCO Partners</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Pennsylvania</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Gateway Azco LP, LLC</w:t>
            </w:r>
          </w:p>
        </w:tc>
        <w:tc>
          <w:tcPr>
            <w:tcW w:w="21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3"/>
              </w:rPr>
              <w:t>Limited Partner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Gateway Azco Manager,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Glen Oak Glenview,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Glenview-REG,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Grand Ridge Plaza I,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Grand Ridge Plaza II,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Hasley Canyon Village,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Hibernia North,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Hickory Creek Plaza,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Hoadly Regency,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Indian Springs GP,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Indio Jackson,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Lee Regency,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The Marketplace at Briargate,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Menifee Marketplace,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Merrimack Shopping Center,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Murfreesboro North,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w w:val="93"/>
              </w:rPr>
              <w:t>Murieta Gardens Shopping Center,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NSHE Winnebago,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Arizona</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NTC-REG, LLC</w:t>
            </w:r>
          </w:p>
        </w:tc>
        <w:tc>
          <w:tcPr>
            <w:tcW w:w="1340" w:type="dxa"/>
            <w:vAlign w:val="bottom"/>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Smyrna Regency, LLC</w:t>
            </w:r>
          </w:p>
        </w:tc>
        <w:tc>
          <w:tcPr>
            <w:tcW w:w="1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1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459"/>
        </w:trPr>
        <w:tc>
          <w:tcPr>
            <w:tcW w:w="3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ind w:left="1280"/>
              <w:spacing w:after="0"/>
              <w:rPr>
                <w:sz w:val="20"/>
                <w:szCs w:val="20"/>
                <w:color w:val="auto"/>
              </w:rPr>
            </w:pPr>
            <w:r>
              <w:rPr>
                <w:rFonts w:ascii="Arial" w:cs="Arial" w:eastAsia="Arial" w:hAnsi="Arial"/>
                <w:sz w:val="18"/>
                <w:szCs w:val="18"/>
                <w:color w:val="auto"/>
              </w:rPr>
              <w:t>2</w:t>
            </w:r>
          </w:p>
        </w:tc>
        <w:tc>
          <w:tcPr>
            <w:tcW w:w="21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380"/>
          </w:cols>
          <w:pgMar w:left="260" w:top="743" w:right="25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REGENCY CENTERS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Nature of</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34"/>
        </w:trPr>
        <w:tc>
          <w:tcPr>
            <w:tcW w:w="3060" w:type="dxa"/>
            <w:vAlign w:val="bottom"/>
          </w:tcPr>
          <w:p>
            <w:pPr>
              <w:ind w:left="1300"/>
              <w:spacing w:after="0"/>
              <w:rPr>
                <w:sz w:val="20"/>
                <w:szCs w:val="20"/>
                <w:color w:val="auto"/>
              </w:rPr>
            </w:pPr>
            <w:r>
              <w:rPr>
                <w:rFonts w:ascii="Arial" w:cs="Arial" w:eastAsia="Arial" w:hAnsi="Arial"/>
                <w:sz w:val="18"/>
                <w:szCs w:val="18"/>
                <w:b w:val="1"/>
                <w:bCs w:val="1"/>
                <w:color w:val="auto"/>
              </w:rPr>
              <w:t>Entity</w:t>
            </w: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Jurisdiction</w:t>
            </w:r>
          </w:p>
        </w:tc>
        <w:tc>
          <w:tcPr>
            <w:tcW w:w="3020" w:type="dxa"/>
            <w:vAlign w:val="bottom"/>
          </w:tcPr>
          <w:p>
            <w:pPr>
              <w:ind w:left="1280"/>
              <w:spacing w:after="0"/>
              <w:rPr>
                <w:sz w:val="20"/>
                <w:szCs w:val="20"/>
                <w:color w:val="auto"/>
              </w:rPr>
            </w:pPr>
            <w:r>
              <w:rPr>
                <w:rFonts w:ascii="Arial" w:cs="Arial" w:eastAsia="Arial" w:hAnsi="Arial"/>
                <w:sz w:val="18"/>
                <w:szCs w:val="18"/>
                <w:b w:val="1"/>
                <w:bCs w:val="1"/>
                <w:color w:val="auto"/>
              </w:rPr>
              <w:t>Owner(s)</w:t>
            </w:r>
          </w:p>
        </w:tc>
        <w:tc>
          <w:tcPr>
            <w:tcW w:w="222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Interest</w:t>
            </w: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Ownership</w:t>
            </w:r>
          </w:p>
        </w:tc>
      </w:tr>
      <w:tr>
        <w:trPr>
          <w:trHeight w:val="27"/>
        </w:trPr>
        <w:tc>
          <w:tcPr>
            <w:tcW w:w="3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Arial" w:cs="Arial" w:eastAsia="Arial" w:hAnsi="Arial"/>
                <w:sz w:val="18"/>
                <w:szCs w:val="18"/>
                <w:color w:val="auto"/>
              </w:rPr>
              <w:t>New Windsor Marketplace,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Northlake Village Shopping Center,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324"/>
        </w:trPr>
        <w:tc>
          <w:tcPr>
            <w:tcW w:w="3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Otay Mesa Crossing,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Regency Centers Acquisitions,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Centers Advisors,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RC CA Santa Barbara,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RC Georgia Holdings,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Red Bank Village,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Alliance Santa Rosa</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3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RC Georgia Holdings, LLC</w:t>
            </w:r>
          </w:p>
        </w:tc>
        <w:tc>
          <w:tcPr>
            <w:tcW w:w="2220" w:type="dxa"/>
            <w:vAlign w:val="bottom"/>
          </w:tcPr>
          <w:p>
            <w:pPr>
              <w:jc w:val="center"/>
              <w:ind w:left="150"/>
              <w:spacing w:after="0"/>
              <w:rPr>
                <w:sz w:val="20"/>
                <w:szCs w:val="20"/>
                <w:color w:val="auto"/>
              </w:rPr>
            </w:pPr>
            <w:r>
              <w:rPr>
                <w:rFonts w:ascii="Arial" w:cs="Arial" w:eastAsia="Arial" w:hAnsi="Arial"/>
                <w:sz w:val="18"/>
                <w:szCs w:val="18"/>
                <w:color w:val="auto"/>
                <w:w w:val="88"/>
              </w:rPr>
              <w:t>General Partner</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2"/>
              </w:rPr>
              <w:t>1%</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Regency Centers Georgia, L.P.</w:t>
            </w:r>
          </w:p>
        </w:tc>
        <w:tc>
          <w:tcPr>
            <w:tcW w:w="1300" w:type="dxa"/>
            <w:vAlign w:val="bottom"/>
          </w:tcPr>
          <w:p>
            <w:pPr>
              <w:ind w:left="40"/>
              <w:spacing w:after="0"/>
              <w:rPr>
                <w:sz w:val="20"/>
                <w:szCs w:val="20"/>
                <w:color w:val="auto"/>
              </w:rPr>
            </w:pPr>
            <w:r>
              <w:rPr>
                <w:rFonts w:ascii="Arial" w:cs="Arial" w:eastAsia="Arial" w:hAnsi="Arial"/>
                <w:sz w:val="18"/>
                <w:szCs w:val="18"/>
                <w:color w:val="auto"/>
              </w:rPr>
              <w:t>Georgia</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50"/>
              <w:spacing w:after="0"/>
              <w:rPr>
                <w:sz w:val="20"/>
                <w:szCs w:val="20"/>
                <w:color w:val="auto"/>
              </w:rPr>
            </w:pPr>
            <w:r>
              <w:rPr>
                <w:rFonts w:ascii="Arial" w:cs="Arial" w:eastAsia="Arial" w:hAnsi="Arial"/>
                <w:sz w:val="18"/>
                <w:szCs w:val="18"/>
                <w:color w:val="auto"/>
                <w:w w:val="93"/>
              </w:rPr>
              <w:t>Limited Partner</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99%</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Blue Ash,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Regency Cahan Clovis,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Lending,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Regency Magi,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0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Marinta-LaQuinta,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Marinita Development Co.</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Interest Varies</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Regency Opitz,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Petaluma,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Regency Remediation, LLC</w:t>
            </w:r>
          </w:p>
        </w:tc>
        <w:tc>
          <w:tcPr>
            <w:tcW w:w="1300" w:type="dxa"/>
            <w:vAlign w:val="bottom"/>
          </w:tcPr>
          <w:p>
            <w:pPr>
              <w:ind w:left="40"/>
              <w:spacing w:after="0"/>
              <w:rPr>
                <w:sz w:val="20"/>
                <w:szCs w:val="20"/>
                <w:color w:val="auto"/>
              </w:rPr>
            </w:pPr>
            <w:r>
              <w:rPr>
                <w:rFonts w:ascii="Arial" w:cs="Arial" w:eastAsia="Arial" w:hAnsi="Arial"/>
                <w:sz w:val="18"/>
                <w:szCs w:val="18"/>
                <w:color w:val="auto"/>
              </w:rPr>
              <w:t>Florida</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Sandy Springs Regency,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Shops at Saugus,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Signature Plaza,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Spring Hill Town Center,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T&amp;M Shiloh Development Company</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88"/>
              </w:rPr>
              <w:t>General Partner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Twin City Plaza Member,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Twin City Plaza,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Twin City Plaza Member, LLC</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89"/>
        </w:trPr>
        <w:tc>
          <w:tcPr>
            <w:tcW w:w="3060" w:type="dxa"/>
            <w:vAlign w:val="bottom"/>
          </w:tcPr>
          <w:p>
            <w:pPr>
              <w:ind w:left="20"/>
              <w:spacing w:after="0"/>
              <w:rPr>
                <w:sz w:val="20"/>
                <w:szCs w:val="20"/>
                <w:color w:val="auto"/>
              </w:rPr>
            </w:pPr>
            <w:r>
              <w:rPr>
                <w:rFonts w:ascii="Arial" w:cs="Arial" w:eastAsia="Arial" w:hAnsi="Arial"/>
                <w:sz w:val="18"/>
                <w:szCs w:val="18"/>
                <w:color w:val="auto"/>
              </w:rPr>
              <w:t>Uptown Member,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22"/>
                <w:szCs w:val="22"/>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30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Uptown District Regency, LLC</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Uptown Member, LLC</w:t>
            </w:r>
          </w:p>
        </w:tc>
        <w:tc>
          <w:tcPr>
            <w:tcW w:w="22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Valleydale,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Wadsworth,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3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Wadsworth, LLC</w:t>
            </w:r>
          </w:p>
        </w:tc>
        <w:tc>
          <w:tcPr>
            <w:tcW w:w="2220" w:type="dxa"/>
            <w:vAlign w:val="bottom"/>
          </w:tcPr>
          <w:p>
            <w:pPr>
              <w:jc w:val="center"/>
              <w:ind w:left="150"/>
              <w:spacing w:after="0"/>
              <w:rPr>
                <w:sz w:val="20"/>
                <w:szCs w:val="20"/>
                <w:color w:val="auto"/>
              </w:rPr>
            </w:pPr>
            <w:r>
              <w:rPr>
                <w:rFonts w:ascii="Arial" w:cs="Arial" w:eastAsia="Arial" w:hAnsi="Arial"/>
                <w:sz w:val="18"/>
                <w:szCs w:val="18"/>
                <w:color w:val="auto"/>
                <w:w w:val="88"/>
              </w:rPr>
              <w:t>General Partner</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2"/>
              </w:rPr>
              <w:t>1%</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DJB No. 23, L.P.</w:t>
            </w:r>
          </w:p>
        </w:tc>
        <w:tc>
          <w:tcPr>
            <w:tcW w:w="1300" w:type="dxa"/>
            <w:vAlign w:val="bottom"/>
          </w:tcPr>
          <w:p>
            <w:pPr>
              <w:ind w:left="40"/>
              <w:spacing w:after="0"/>
              <w:rPr>
                <w:sz w:val="20"/>
                <w:szCs w:val="20"/>
                <w:color w:val="auto"/>
              </w:rPr>
            </w:pPr>
            <w:r>
              <w:rPr>
                <w:rFonts w:ascii="Arial" w:cs="Arial" w:eastAsia="Arial" w:hAnsi="Arial"/>
                <w:sz w:val="18"/>
                <w:szCs w:val="18"/>
                <w:color w:val="auto"/>
              </w:rPr>
              <w:t>Texas</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50"/>
              <w:spacing w:after="0"/>
              <w:rPr>
                <w:sz w:val="20"/>
                <w:szCs w:val="20"/>
                <w:color w:val="auto"/>
              </w:rPr>
            </w:pPr>
            <w:r>
              <w:rPr>
                <w:rFonts w:ascii="Arial" w:cs="Arial" w:eastAsia="Arial" w:hAnsi="Arial"/>
                <w:sz w:val="18"/>
                <w:szCs w:val="18"/>
                <w:color w:val="auto"/>
                <w:w w:val="93"/>
              </w:rPr>
              <w:t>Limited Partner</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99%</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Walton Town Center,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Waterside Marketplace, LLC</w:t>
            </w:r>
          </w:p>
        </w:tc>
        <w:tc>
          <w:tcPr>
            <w:tcW w:w="1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RRG Holdings,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3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Regency Centers, L.P.</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89"/>
              </w:rPr>
              <w:t>Preferred Stock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Common Stock</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2"/>
              </w:rPr>
              <w:t>7%</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Regency Realty Group, Inc.</w:t>
            </w:r>
          </w:p>
        </w:tc>
        <w:tc>
          <w:tcPr>
            <w:tcW w:w="1300" w:type="dxa"/>
            <w:vAlign w:val="bottom"/>
          </w:tcPr>
          <w:p>
            <w:pPr>
              <w:ind w:left="40"/>
              <w:spacing w:after="0"/>
              <w:rPr>
                <w:sz w:val="20"/>
                <w:szCs w:val="20"/>
                <w:color w:val="auto"/>
              </w:rPr>
            </w:pPr>
            <w:r>
              <w:rPr>
                <w:rFonts w:ascii="Arial" w:cs="Arial" w:eastAsia="Arial" w:hAnsi="Arial"/>
                <w:sz w:val="18"/>
                <w:szCs w:val="18"/>
                <w:color w:val="auto"/>
              </w:rPr>
              <w:t>Florida</w:t>
            </w:r>
          </w:p>
        </w:tc>
        <w:tc>
          <w:tcPr>
            <w:tcW w:w="3020" w:type="dxa"/>
            <w:vAlign w:val="bottom"/>
          </w:tcPr>
          <w:p>
            <w:pPr>
              <w:ind w:left="120"/>
              <w:spacing w:after="0"/>
              <w:rPr>
                <w:sz w:val="20"/>
                <w:szCs w:val="20"/>
                <w:color w:val="auto"/>
              </w:rPr>
            </w:pPr>
            <w:r>
              <w:rPr>
                <w:rFonts w:ascii="Arial" w:cs="Arial" w:eastAsia="Arial" w:hAnsi="Arial"/>
                <w:sz w:val="18"/>
                <w:szCs w:val="18"/>
                <w:color w:val="auto"/>
              </w:rPr>
              <w:t>RRG Holdings, LLC</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90"/>
              </w:rPr>
              <w:t>Common Stock</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93%</w:t>
            </w:r>
          </w:p>
        </w:tc>
      </w:tr>
      <w:tr>
        <w:trPr>
          <w:trHeight w:val="27"/>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1488-2978 SC GP, LLC</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459"/>
        </w:trPr>
        <w:tc>
          <w:tcPr>
            <w:tcW w:w="3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20" w:type="dxa"/>
            <w:vAlign w:val="bottom"/>
          </w:tcPr>
          <w:p>
            <w:pPr>
              <w:ind w:left="1280"/>
              <w:spacing w:after="0"/>
              <w:rPr>
                <w:sz w:val="20"/>
                <w:szCs w:val="20"/>
                <w:color w:val="auto"/>
              </w:rPr>
            </w:pPr>
            <w:r>
              <w:rPr>
                <w:rFonts w:ascii="Arial" w:cs="Arial" w:eastAsia="Arial" w:hAnsi="Arial"/>
                <w:sz w:val="18"/>
                <w:szCs w:val="18"/>
                <w:color w:val="auto"/>
              </w:rPr>
              <w:t>3</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380"/>
          </w:cols>
          <w:pgMar w:left="260" w:top="743" w:right="25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REGENCY CENTERS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Nature of</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34"/>
        </w:trPr>
        <w:tc>
          <w:tcPr>
            <w:tcW w:w="3040" w:type="dxa"/>
            <w:vAlign w:val="bottom"/>
          </w:tcPr>
          <w:p>
            <w:pPr>
              <w:ind w:left="1300"/>
              <w:spacing w:after="0"/>
              <w:rPr>
                <w:sz w:val="20"/>
                <w:szCs w:val="20"/>
                <w:color w:val="auto"/>
              </w:rPr>
            </w:pPr>
            <w:r>
              <w:rPr>
                <w:rFonts w:ascii="Arial" w:cs="Arial" w:eastAsia="Arial" w:hAnsi="Arial"/>
                <w:sz w:val="18"/>
                <w:szCs w:val="18"/>
                <w:b w:val="1"/>
                <w:bCs w:val="1"/>
                <w:color w:val="auto"/>
              </w:rPr>
              <w:t>Entity</w:t>
            </w:r>
          </w:p>
        </w:tc>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Jurisdiction</w:t>
            </w:r>
          </w:p>
        </w:tc>
        <w:tc>
          <w:tcPr>
            <w:tcW w:w="3340" w:type="dxa"/>
            <w:vAlign w:val="bottom"/>
          </w:tcPr>
          <w:p>
            <w:pPr>
              <w:ind w:left="1280"/>
              <w:spacing w:after="0"/>
              <w:rPr>
                <w:sz w:val="20"/>
                <w:szCs w:val="20"/>
                <w:color w:val="auto"/>
              </w:rPr>
            </w:pPr>
            <w:r>
              <w:rPr>
                <w:rFonts w:ascii="Arial" w:cs="Arial" w:eastAsia="Arial" w:hAnsi="Arial"/>
                <w:sz w:val="18"/>
                <w:szCs w:val="18"/>
                <w:b w:val="1"/>
                <w:bCs w:val="1"/>
                <w:color w:val="auto"/>
              </w:rPr>
              <w:t>Owner(s)</w:t>
            </w: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Interest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1488-2978 SC GP, LLC</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General Partner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1488-2978 SC, L.P.</w:t>
            </w:r>
          </w:p>
        </w:tc>
        <w:tc>
          <w:tcPr>
            <w:tcW w:w="1320" w:type="dxa"/>
            <w:vAlign w:val="bottom"/>
          </w:tcPr>
          <w:p>
            <w:pPr>
              <w:ind w:left="60"/>
              <w:spacing w:after="0"/>
              <w:rPr>
                <w:sz w:val="20"/>
                <w:szCs w:val="20"/>
                <w:color w:val="auto"/>
              </w:rPr>
            </w:pPr>
            <w:r>
              <w:rPr>
                <w:rFonts w:ascii="Arial" w:cs="Arial" w:eastAsia="Arial" w:hAnsi="Arial"/>
                <w:sz w:val="18"/>
                <w:szCs w:val="18"/>
                <w:color w:val="auto"/>
              </w:rPr>
              <w:t>Texas</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3"/>
              </w:rPr>
              <w:t>Limited Partner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Alameda Bridgeside Shopping Center,</w:t>
            </w:r>
          </w:p>
        </w:tc>
        <w:tc>
          <w:tcPr>
            <w:tcW w:w="132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w w:val="98"/>
              </w:rPr>
              <w:t>Amherst Street Shopping Center,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Bordeaux Development,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Florida</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Caligo Crossing,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Castaic Vine,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w w:val="98"/>
              </w:rPr>
              <w:t>Cathedral City Rio Vista Town Centre,</w:t>
            </w:r>
          </w:p>
        </w:tc>
        <w:tc>
          <w:tcPr>
            <w:tcW w:w="1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Chestnut Powder,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Georgia</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Culpeper Regency,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Dixon,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Florida</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East Towne Center,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Lake McLeod, LLC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Interests Vary</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Edmunson Orange Corp.</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Tennessee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Common Stock</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w w:val="95"/>
              </w:rPr>
              <w:t>Edmunson Orange North Carolina,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Edmunson Orange Corp.</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VP101,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Edmunson Orange Corp.</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Gateway 101,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Hanover Northampton GP,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w w:val="95"/>
              </w:rPr>
              <w:t>Hanover Northampton LP Holding,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Hanover Northampton LP Holding, LLC</w:t>
            </w:r>
          </w:p>
        </w:tc>
        <w:tc>
          <w:tcPr>
            <w:tcW w:w="19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General Partner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Hanover Northampton Partner, LP</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Limited Partner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Hanover Northampton GP, LLC</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General Partner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Hanover Northampton Retail, LP</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Hanover Northampton Partner, LP</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3"/>
              </w:rPr>
              <w:t>Limited Partner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99.5%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Hermitage Development II,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Florida</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Jog Road, LLC</w:t>
            </w:r>
          </w:p>
        </w:tc>
        <w:tc>
          <w:tcPr>
            <w:tcW w:w="1320" w:type="dxa"/>
            <w:vAlign w:val="bottom"/>
          </w:tcPr>
          <w:p>
            <w:pPr>
              <w:ind w:left="60"/>
              <w:spacing w:after="0"/>
              <w:rPr>
                <w:sz w:val="20"/>
                <w:szCs w:val="20"/>
                <w:color w:val="auto"/>
              </w:rPr>
            </w:pPr>
            <w:r>
              <w:rPr>
                <w:rFonts w:ascii="Arial" w:cs="Arial" w:eastAsia="Arial" w:hAnsi="Arial"/>
                <w:sz w:val="18"/>
                <w:szCs w:val="18"/>
                <w:color w:val="auto"/>
              </w:rPr>
              <w:t>Florida</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Member 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Southland Centers II, LLC</w:t>
            </w:r>
          </w:p>
        </w:tc>
        <w:tc>
          <w:tcPr>
            <w:tcW w:w="13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Florida</w:t>
            </w:r>
          </w:p>
        </w:tc>
        <w:tc>
          <w:tcPr>
            <w:tcW w:w="33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Jog Road, LLC</w:t>
            </w:r>
          </w:p>
        </w:tc>
        <w:tc>
          <w:tcPr>
            <w:tcW w:w="1940" w:type="dxa"/>
            <w:vAlign w:val="bottom"/>
            <w:vMerge w:val="restart"/>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3340" w:type="dxa"/>
            <w:vAlign w:val="bottom"/>
            <w:tcBorders>
              <w:bottom w:val="single" w:sz="8" w:color="CCEEFF"/>
            </w:tcBorders>
            <w:vMerge w:val="continue"/>
            <w:shd w:val="clear" w:color="auto" w:fill="CCEEFF"/>
          </w:tcPr>
          <w:p>
            <w:pPr>
              <w:spacing w:after="0"/>
              <w:rPr>
                <w:sz w:val="19"/>
                <w:szCs w:val="19"/>
                <w:color w:val="auto"/>
              </w:rPr>
            </w:pPr>
          </w:p>
        </w:tc>
        <w:tc>
          <w:tcPr>
            <w:tcW w:w="1940" w:type="dxa"/>
            <w:vAlign w:val="bottom"/>
            <w:tcBorders>
              <w:bottom w:val="single" w:sz="8" w:color="CCEEFF"/>
            </w:tcBorders>
            <w:vMerge w:val="continue"/>
            <w:shd w:val="clear" w:color="auto" w:fill="CCEEFF"/>
          </w:tcPr>
          <w:p>
            <w:pPr>
              <w:spacing w:after="0"/>
              <w:rPr>
                <w:sz w:val="19"/>
                <w:szCs w:val="19"/>
                <w:color w:val="auto"/>
              </w:rPr>
            </w:pPr>
          </w:p>
        </w:tc>
        <w:tc>
          <w:tcPr>
            <w:tcW w:w="1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Kulpsville Village Center LP,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Kulpsville Village Center LP, LLC</w:t>
            </w:r>
          </w:p>
        </w:tc>
        <w:tc>
          <w:tcPr>
            <w:tcW w:w="19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General Partner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Kulpsville Village Center, LP</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Limited Partner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99.5%</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Lonestar Retail,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Loveland Shopping Center,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Lower Nazareth LP Holding,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19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Limited Partner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Nazareth Partner, LP</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Lower Nazareth LP Holding, LLC</w:t>
            </w:r>
          </w:p>
        </w:tc>
        <w:tc>
          <w:tcPr>
            <w:tcW w:w="19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General Partner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40" w:type="dxa"/>
            <w:vAlign w:val="bottom"/>
          </w:tcPr>
          <w:p>
            <w:pPr>
              <w:ind w:left="1280"/>
              <w:spacing w:after="0"/>
              <w:rPr>
                <w:sz w:val="20"/>
                <w:szCs w:val="20"/>
                <w:color w:val="auto"/>
              </w:rPr>
            </w:pPr>
            <w:r>
              <w:rPr>
                <w:rFonts w:ascii="Arial" w:cs="Arial" w:eastAsia="Arial" w:hAnsi="Arial"/>
                <w:sz w:val="18"/>
                <w:szCs w:val="18"/>
                <w:color w:val="auto"/>
              </w:rPr>
              <w:t>4</w:t>
            </w: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743" w:right="25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REGENCY CENTERS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3"/>
              </w:rPr>
              <w:t>Nature of</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34"/>
        </w:trPr>
        <w:tc>
          <w:tcPr>
            <w:tcW w:w="3040" w:type="dxa"/>
            <w:vAlign w:val="bottom"/>
          </w:tcPr>
          <w:p>
            <w:pPr>
              <w:ind w:left="1300"/>
              <w:spacing w:after="0"/>
              <w:rPr>
                <w:sz w:val="20"/>
                <w:szCs w:val="20"/>
                <w:color w:val="auto"/>
              </w:rPr>
            </w:pPr>
            <w:r>
              <w:rPr>
                <w:rFonts w:ascii="Arial" w:cs="Arial" w:eastAsia="Arial" w:hAnsi="Arial"/>
                <w:sz w:val="18"/>
                <w:szCs w:val="18"/>
                <w:b w:val="1"/>
                <w:bCs w:val="1"/>
                <w:color w:val="auto"/>
              </w:rPr>
              <w:t>Entity</w:t>
            </w:r>
          </w:p>
        </w:tc>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Jurisdiction</w:t>
            </w:r>
          </w:p>
        </w:tc>
        <w:tc>
          <w:tcPr>
            <w:tcW w:w="3220" w:type="dxa"/>
            <w:vAlign w:val="bottom"/>
          </w:tcPr>
          <w:p>
            <w:pPr>
              <w:ind w:left="1280"/>
              <w:spacing w:after="0"/>
              <w:rPr>
                <w:sz w:val="20"/>
                <w:szCs w:val="20"/>
                <w:color w:val="auto"/>
              </w:rPr>
            </w:pPr>
            <w:r>
              <w:rPr>
                <w:rFonts w:ascii="Arial" w:cs="Arial" w:eastAsia="Arial" w:hAnsi="Arial"/>
                <w:sz w:val="18"/>
                <w:szCs w:val="18"/>
                <w:b w:val="1"/>
                <w:bCs w:val="1"/>
                <w:color w:val="auto"/>
              </w:rPr>
              <w:t>Owner(s)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Ownership</w:t>
            </w:r>
          </w:p>
        </w:tc>
      </w:tr>
      <w:tr>
        <w:trPr>
          <w:trHeight w:val="27"/>
        </w:trPr>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Lower Nazareth GP,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Lower Nazareth GP, LLC</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General Partner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.5%</w:t>
            </w: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Nazareth Commons, LP</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Lower Nazareth Partner, LP</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Limited Partner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99.5%</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Lower Nazareth II LP Holding,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Lower Nazareth II LP Holding, LLC</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General Partner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0%</w:t>
            </w: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Nazareth II Partner, LP</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Limited Partner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Lower Nazareth II GP,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Lower Nazareth II GP, LLC</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General Partner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.5%</w:t>
            </w: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Nazareth Commons II, LP</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Lower Nazareth II Partner, LP</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Limited Partner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99.5%</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Luther Properties, Inc.</w:t>
            </w:r>
          </w:p>
        </w:tc>
        <w:tc>
          <w:tcPr>
            <w:tcW w:w="1320" w:type="dxa"/>
            <w:vAlign w:val="bottom"/>
          </w:tcPr>
          <w:p>
            <w:pPr>
              <w:ind w:left="60"/>
              <w:spacing w:after="0"/>
              <w:rPr>
                <w:sz w:val="20"/>
                <w:szCs w:val="20"/>
                <w:color w:val="auto"/>
              </w:rPr>
            </w:pPr>
            <w:r>
              <w:rPr>
                <w:rFonts w:ascii="Arial" w:cs="Arial" w:eastAsia="Arial" w:hAnsi="Arial"/>
                <w:sz w:val="18"/>
                <w:szCs w:val="18"/>
                <w:color w:val="auto"/>
              </w:rPr>
              <w:t>Tennessee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Marietta Outparcel, Inc.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Georgia</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Middle Creek Commons,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Middle Tennessee Development,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Mitchell Service,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Meadow,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w w:val="99"/>
              </w:rPr>
              <w:t>Mountain View Shopping Center,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NorthGate Regency,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Paso Golden Hill,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R2 Media,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Florida</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RRG Net, LLC</w:t>
            </w:r>
          </w:p>
        </w:tc>
        <w:tc>
          <w:tcPr>
            <w:tcW w:w="1320" w:type="dxa"/>
            <w:vAlign w:val="bottom"/>
          </w:tcPr>
          <w:p>
            <w:pPr>
              <w:ind w:left="60"/>
              <w:spacing w:after="0"/>
              <w:rPr>
                <w:sz w:val="20"/>
                <w:szCs w:val="20"/>
                <w:color w:val="auto"/>
              </w:rPr>
            </w:pPr>
            <w:r>
              <w:rPr>
                <w:rFonts w:ascii="Arial" w:cs="Arial" w:eastAsia="Arial" w:hAnsi="Arial"/>
                <w:sz w:val="18"/>
                <w:szCs w:val="18"/>
                <w:color w:val="auto"/>
              </w:rPr>
              <w:t>Florida</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shd w:val="clear" w:color="auto" w:fill="CCEEFF"/>
          </w:tcPr>
          <w:p>
            <w:pPr>
              <w:spacing w:after="0"/>
              <w:rPr>
                <w:sz w:val="19"/>
                <w:szCs w:val="19"/>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Regency/PGM-Burkitt,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PGM-Burkitt, LLC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Interests Vary</w:t>
            </w:r>
          </w:p>
        </w:tc>
      </w:tr>
      <w:tr>
        <w:trPr>
          <w:trHeight w:val="229"/>
        </w:trPr>
        <w:tc>
          <w:tcPr>
            <w:tcW w:w="3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3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Snowden Leftwich</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80%</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Regency Realty Colorado, Inc.</w:t>
            </w:r>
          </w:p>
        </w:tc>
        <w:tc>
          <w:tcPr>
            <w:tcW w:w="1320" w:type="dxa"/>
            <w:vAlign w:val="bottom"/>
          </w:tcPr>
          <w:p>
            <w:pPr>
              <w:ind w:left="60"/>
              <w:spacing w:after="0"/>
              <w:rPr>
                <w:sz w:val="20"/>
                <w:szCs w:val="20"/>
                <w:color w:val="auto"/>
              </w:rPr>
            </w:pPr>
            <w:r>
              <w:rPr>
                <w:rFonts w:ascii="Arial" w:cs="Arial" w:eastAsia="Arial" w:hAnsi="Arial"/>
                <w:sz w:val="18"/>
                <w:szCs w:val="18"/>
                <w:color w:val="auto"/>
              </w:rPr>
              <w:t>Florida</w:t>
            </w:r>
          </w:p>
        </w:tc>
        <w:tc>
          <w:tcPr>
            <w:tcW w:w="3220" w:type="dxa"/>
            <w:vAlign w:val="bottom"/>
          </w:tcPr>
          <w:p>
            <w:pPr>
              <w:ind w:left="120"/>
              <w:spacing w:after="0"/>
              <w:rPr>
                <w:sz w:val="20"/>
                <w:szCs w:val="20"/>
                <w:color w:val="auto"/>
              </w:rPr>
            </w:pPr>
            <w:r>
              <w:rPr>
                <w:rFonts w:ascii="Arial" w:cs="Arial" w:eastAsia="Arial" w:hAnsi="Arial"/>
                <w:sz w:val="18"/>
                <w:szCs w:val="18"/>
                <w:color w:val="auto"/>
              </w:rPr>
              <w:t>(see Note 1)</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20%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Regency Realty Group-NE, Inc.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Florida</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Regency Solar,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SS Harbour GP,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3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SS Harbour GP, LLC</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General Partner</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2"/>
              </w:rPr>
              <w:t>1%</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SS Harbour, L.P.</w:t>
            </w:r>
          </w:p>
        </w:tc>
        <w:tc>
          <w:tcPr>
            <w:tcW w:w="1320" w:type="dxa"/>
            <w:vAlign w:val="bottom"/>
          </w:tcPr>
          <w:p>
            <w:pPr>
              <w:ind w:left="60"/>
              <w:spacing w:after="0"/>
              <w:rPr>
                <w:sz w:val="20"/>
                <w:szCs w:val="20"/>
                <w:color w:val="auto"/>
              </w:rPr>
            </w:pPr>
            <w:r>
              <w:rPr>
                <w:rFonts w:ascii="Arial" w:cs="Arial" w:eastAsia="Arial" w:hAnsi="Arial"/>
                <w:sz w:val="18"/>
                <w:szCs w:val="18"/>
                <w:color w:val="auto"/>
              </w:rPr>
              <w:t>Texas</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Limited Partner</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99%</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Regency Reatly Group, Inc.</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Seminole Shoppes,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M&amp;P Shopping Centers</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Shops at Highland Village GP,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Shops at Highland Village Development,</w:t>
            </w:r>
          </w:p>
        </w:tc>
        <w:tc>
          <w:tcPr>
            <w:tcW w:w="1320" w:type="dxa"/>
            <w:vAlign w:val="bottom"/>
            <w:shd w:val="clear" w:color="auto" w:fill="CCEEFF"/>
          </w:tcPr>
          <w:p>
            <w:pPr>
              <w:spacing w:after="0"/>
              <w:rPr>
                <w:sz w:val="19"/>
                <w:szCs w:val="19"/>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Shops at Highland Village GP, LLC</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General Partner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Ltd.</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Texas</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Limited Partner</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99%</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Shops at Quail Creek,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Slausen Central,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Stanley Bernal,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Street Crossing,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Stonewall Regency, LLC</w:t>
            </w:r>
          </w:p>
        </w:tc>
        <w:tc>
          <w:tcPr>
            <w:tcW w:w="1320" w:type="dxa"/>
            <w:vAlign w:val="bottom"/>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Summerville-Orangeburg, LLC</w:t>
            </w:r>
          </w:p>
        </w:tc>
        <w:tc>
          <w:tcPr>
            <w:tcW w:w="1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459"/>
        </w:trPr>
        <w:tc>
          <w:tcPr>
            <w:tcW w:w="3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20" w:type="dxa"/>
            <w:vAlign w:val="bottom"/>
          </w:tcPr>
          <w:p>
            <w:pPr>
              <w:ind w:left="1280"/>
              <w:spacing w:after="0"/>
              <w:rPr>
                <w:sz w:val="20"/>
                <w:szCs w:val="20"/>
                <w:color w:val="auto"/>
              </w:rPr>
            </w:pPr>
            <w:r>
              <w:rPr>
                <w:rFonts w:ascii="Arial" w:cs="Arial" w:eastAsia="Arial" w:hAnsi="Arial"/>
                <w:sz w:val="18"/>
                <w:szCs w:val="18"/>
                <w:color w:val="auto"/>
              </w:rPr>
              <w:t>5</w:t>
            </w: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380"/>
          </w:cols>
          <w:pgMar w:left="260" w:top="742" w:right="25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REGENCY CENTERS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Subsidiaries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38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Nature of</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34"/>
        </w:trPr>
        <w:tc>
          <w:tcPr>
            <w:tcW w:w="2560" w:type="dxa"/>
            <w:vAlign w:val="bottom"/>
          </w:tcPr>
          <w:p>
            <w:pPr>
              <w:ind w:left="1300"/>
              <w:spacing w:after="0"/>
              <w:rPr>
                <w:sz w:val="20"/>
                <w:szCs w:val="20"/>
                <w:color w:val="auto"/>
              </w:rPr>
            </w:pPr>
            <w:r>
              <w:rPr>
                <w:rFonts w:ascii="Arial" w:cs="Arial" w:eastAsia="Arial" w:hAnsi="Arial"/>
                <w:sz w:val="18"/>
                <w:szCs w:val="18"/>
                <w:b w:val="1"/>
                <w:bCs w:val="1"/>
                <w:color w:val="auto"/>
              </w:rPr>
              <w:t>Entity</w:t>
            </w:r>
          </w:p>
        </w:tc>
        <w:tc>
          <w:tcPr>
            <w:tcW w:w="1800" w:type="dxa"/>
            <w:vAlign w:val="bottom"/>
          </w:tcPr>
          <w:p>
            <w:pPr>
              <w:ind w:left="740"/>
              <w:spacing w:after="0"/>
              <w:rPr>
                <w:sz w:val="20"/>
                <w:szCs w:val="20"/>
                <w:color w:val="auto"/>
              </w:rPr>
            </w:pPr>
            <w:r>
              <w:rPr>
                <w:rFonts w:ascii="Arial" w:cs="Arial" w:eastAsia="Arial" w:hAnsi="Arial"/>
                <w:sz w:val="18"/>
                <w:szCs w:val="18"/>
                <w:b w:val="1"/>
                <w:bCs w:val="1"/>
                <w:color w:val="auto"/>
              </w:rPr>
              <w:t>Jurisdiction</w:t>
            </w:r>
          </w:p>
        </w:tc>
        <w:tc>
          <w:tcPr>
            <w:tcW w:w="2900" w:type="dxa"/>
            <w:vAlign w:val="bottom"/>
          </w:tcPr>
          <w:p>
            <w:pPr>
              <w:ind w:left="1280"/>
              <w:spacing w:after="0"/>
              <w:rPr>
                <w:sz w:val="20"/>
                <w:szCs w:val="20"/>
                <w:color w:val="auto"/>
              </w:rPr>
            </w:pPr>
            <w:r>
              <w:rPr>
                <w:rFonts w:ascii="Arial" w:cs="Arial" w:eastAsia="Arial" w:hAnsi="Arial"/>
                <w:sz w:val="18"/>
                <w:szCs w:val="18"/>
                <w:b w:val="1"/>
                <w:bCs w:val="1"/>
                <w:color w:val="auto"/>
              </w:rPr>
              <w:t>Owner(s)</w:t>
            </w:r>
          </w:p>
        </w:tc>
        <w:tc>
          <w:tcPr>
            <w:tcW w:w="23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Interest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7"/>
        </w:trPr>
        <w:tc>
          <w:tcPr>
            <w:tcW w:w="2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RRG Pennsylvania GP, Inc.</w:t>
            </w:r>
          </w:p>
        </w:tc>
        <w:tc>
          <w:tcPr>
            <w:tcW w:w="1800" w:type="dxa"/>
            <w:vAlign w:val="bottom"/>
          </w:tcPr>
          <w:p>
            <w:pPr>
              <w:ind w:left="540"/>
              <w:spacing w:after="0"/>
              <w:rPr>
                <w:sz w:val="20"/>
                <w:szCs w:val="20"/>
                <w:color w:val="auto"/>
              </w:rPr>
            </w:pPr>
            <w:r>
              <w:rPr>
                <w:rFonts w:ascii="Arial" w:cs="Arial" w:eastAsia="Arial" w:hAnsi="Arial"/>
                <w:sz w:val="18"/>
                <w:szCs w:val="18"/>
                <w:color w:val="auto"/>
              </w:rPr>
              <w:t>Florida</w:t>
            </w:r>
          </w:p>
        </w:tc>
        <w:tc>
          <w:tcPr>
            <w:tcW w:w="290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380" w:type="dxa"/>
            <w:vAlign w:val="bottom"/>
          </w:tcPr>
          <w:p>
            <w:pPr>
              <w:jc w:val="center"/>
              <w:ind w:left="210"/>
              <w:spacing w:after="0"/>
              <w:rPr>
                <w:sz w:val="20"/>
                <w:szCs w:val="20"/>
                <w:color w:val="auto"/>
              </w:rPr>
            </w:pPr>
            <w:r>
              <w:rPr>
                <w:rFonts w:ascii="Arial" w:cs="Arial" w:eastAsia="Arial" w:hAnsi="Arial"/>
                <w:sz w:val="18"/>
                <w:szCs w:val="18"/>
                <w:color w:val="auto"/>
                <w:w w:val="90"/>
              </w:rPr>
              <w:t>Common Stock</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2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RRG Pennsylvania GP, Inc.</w:t>
            </w:r>
          </w:p>
        </w:tc>
        <w:tc>
          <w:tcPr>
            <w:tcW w:w="23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8"/>
              </w:rPr>
              <w:t>General Partner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r>
      <w:tr>
        <w:trPr>
          <w:trHeight w:val="237"/>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Swatara Marketplace LP</w:t>
            </w:r>
          </w:p>
        </w:tc>
        <w:tc>
          <w:tcPr>
            <w:tcW w:w="1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2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Regency Realty Group, Inc.</w:t>
            </w:r>
          </w:p>
        </w:tc>
        <w:tc>
          <w:tcPr>
            <w:tcW w:w="23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3"/>
              </w:rPr>
              <w:t>Limited Partner</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99.5%</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West End Properties, LLC</w:t>
            </w:r>
          </w:p>
        </w:tc>
        <w:tc>
          <w:tcPr>
            <w:tcW w:w="1800" w:type="dxa"/>
            <w:vAlign w:val="bottom"/>
          </w:tcPr>
          <w:p>
            <w:pPr>
              <w:ind w:left="540"/>
              <w:spacing w:after="0"/>
              <w:rPr>
                <w:sz w:val="20"/>
                <w:szCs w:val="20"/>
                <w:color w:val="auto"/>
              </w:rPr>
            </w:pPr>
            <w:r>
              <w:rPr>
                <w:rFonts w:ascii="Arial" w:cs="Arial" w:eastAsia="Arial" w:hAnsi="Arial"/>
                <w:sz w:val="18"/>
                <w:szCs w:val="18"/>
                <w:color w:val="auto"/>
              </w:rPr>
              <w:t>Florida</w:t>
            </w:r>
          </w:p>
        </w:tc>
        <w:tc>
          <w:tcPr>
            <w:tcW w:w="2900" w:type="dxa"/>
            <w:vAlign w:val="bottom"/>
          </w:tcPr>
          <w:p>
            <w:pPr>
              <w:ind w:left="120"/>
              <w:spacing w:after="0"/>
              <w:rPr>
                <w:sz w:val="20"/>
                <w:szCs w:val="20"/>
                <w:color w:val="auto"/>
              </w:rPr>
            </w:pPr>
            <w:r>
              <w:rPr>
                <w:rFonts w:ascii="Arial" w:cs="Arial" w:eastAsia="Arial" w:hAnsi="Arial"/>
                <w:sz w:val="18"/>
                <w:szCs w:val="18"/>
                <w:color w:val="auto"/>
              </w:rPr>
              <w:t>Regency Realty Group, Inc.</w:t>
            </w:r>
          </w:p>
        </w:tc>
        <w:tc>
          <w:tcPr>
            <w:tcW w:w="2380" w:type="dxa"/>
            <w:vAlign w:val="bottom"/>
          </w:tcPr>
          <w:p>
            <w:pPr>
              <w:jc w:val="center"/>
              <w:ind w:left="210"/>
              <w:spacing w:after="0"/>
              <w:rPr>
                <w:sz w:val="20"/>
                <w:szCs w:val="20"/>
                <w:color w:val="auto"/>
              </w:rPr>
            </w:pPr>
            <w:r>
              <w:rPr>
                <w:rFonts w:ascii="Arial" w:cs="Arial" w:eastAsia="Arial" w:hAnsi="Arial"/>
                <w:sz w:val="18"/>
                <w:szCs w:val="18"/>
                <w:color w:val="auto"/>
                <w:w w:val="90"/>
              </w:rPr>
              <w:t>Member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Note 1: Snowden Leftwich is a Regency employee who is the licensed broker for this entity. Colorado requires that the broker must own a minimum of 20% of the equity in a licensed entity.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42" w:right="25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 (No. 333-930, No. 333-52089, No. 333-44724, No. 333-114567, No. 333-125858, and No. 333-125913) on Form S-3 and (No. 333-174535) on Form S-3ASR and (No. 333-24971, No. 333-55062, No. 333-125857, and No. 333-149872) on Form S-8 of Regency Centers Corporation and (No. 333-174535) on Form S-3ASR of Regency Centers, L.P. of our reports dated March 1, 2013, with respect to the consolidated balance sheets of Regency Centers Corporation as of December 31, 2012 and 2011, and the related consolidated statements of operations, comprehensive income (loss), equity, and cash flows for each of the years in the three-year period ended December 31, 2012, and the related financial statement schedule, and the effectiveness of internal control over financial reporting as of December 31, 2012, which reports appear in the December 31, 2012 annual report on Form 10-K of Regency Centers Corporation and Regency Centers, L.P.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 </w:t>
      </w: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general partner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L.P.:</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 (No. 333-930, No. 333-52089, No. 333-44724, No. 333-114567, No. 333-125858, and No. 333-125913) on Form S-3 and (No. 333-174535) on Form S-3ASR and (No. 333-24971, No. 333-55062, No. 333-125857, and No. 333-149872) on Form S-8 of Regency Centers Corporation and (No. 333-174535) on Form S-3ASR of Regency Centers, L.P. of our reports dated March 1, 2013, with respect to the consolidated balance sheets of Regency Centers, L.P. as of December 31, 2012 and 2011, and the related consolidated statements of operations, comprehensive income (loss), capital, and cash flows for each of the years in the three-year period ended December 31, 2012, and the related financial statement schedule, and the effectiveness of internal control over financial reporting as of December 31, 2012, which reports appear in the December 31, 2012 annual report on Form 10-K of Regency Centers Corporation and Regency Centers, L.P.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 </w:t>
      </w: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Martin E. Stein, Jr.</w:t>
      </w:r>
      <w:r>
        <w:rPr>
          <w:rFonts w:ascii="Arial" w:cs="Arial" w:eastAsia="Arial" w:hAnsi="Arial"/>
          <w:sz w:val="18"/>
          <w:szCs w:val="18"/>
          <w:color w:val="auto"/>
        </w:rPr>
        <w:t>, certify that:</w:t>
      </w:r>
    </w:p>
    <w:p>
      <w:pPr>
        <w:spacing w:after="0" w:line="17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Corporation</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Lisa Palmer,</w:t>
      </w:r>
      <w:r>
        <w:rPr>
          <w:rFonts w:ascii="Arial" w:cs="Arial" w:eastAsia="Arial" w:hAnsi="Arial"/>
          <w:sz w:val="18"/>
          <w:szCs w:val="18"/>
          <w:color w:val="auto"/>
        </w:rPr>
        <w:t xml:space="preserve"> certify that:</w:t>
      </w:r>
    </w:p>
    <w:p>
      <w:pPr>
        <w:spacing w:after="0" w:line="171"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Corporation</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Palmer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Martin E. Stein, Jr.</w:t>
      </w:r>
      <w:r>
        <w:rPr>
          <w:rFonts w:ascii="Arial" w:cs="Arial" w:eastAsia="Arial" w:hAnsi="Arial"/>
          <w:sz w:val="18"/>
          <w:szCs w:val="18"/>
          <w:color w:val="auto"/>
        </w:rPr>
        <w:t>, certify that:</w:t>
      </w:r>
    </w:p>
    <w:p>
      <w:pPr>
        <w:spacing w:after="0" w:line="171"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L.P.</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of Regency Centers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Corporation, general partner of registrant</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Lisa Palmer,</w:t>
      </w:r>
      <w:r>
        <w:rPr>
          <w:rFonts w:ascii="Arial" w:cs="Arial" w:eastAsia="Arial" w:hAnsi="Arial"/>
          <w:sz w:val="18"/>
          <w:szCs w:val="18"/>
          <w:color w:val="auto"/>
        </w:rPr>
        <w:t xml:space="preserve"> certify that:</w:t>
      </w:r>
    </w:p>
    <w:p>
      <w:pPr>
        <w:spacing w:after="0" w:line="171"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L.P.</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Palmer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of Regency Centers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partner of registrant</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3"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 xml:space="preserve">Solely for the purposes of complying with 18 U.S.C. §1350, I, the undersigned Chief Executive Officer of </w:t>
      </w:r>
      <w:r>
        <w:rPr>
          <w:rFonts w:ascii="Arial" w:cs="Arial" w:eastAsia="Arial" w:hAnsi="Arial"/>
          <w:sz w:val="17"/>
          <w:szCs w:val="17"/>
          <w:b w:val="1"/>
          <w:bCs w:val="1"/>
          <w:color w:val="auto"/>
        </w:rPr>
        <w:t>Regency Centers Corporation</w:t>
      </w:r>
      <w:r>
        <w:rPr>
          <w:rFonts w:ascii="Arial" w:cs="Arial" w:eastAsia="Arial" w:hAnsi="Arial"/>
          <w:sz w:val="17"/>
          <w:szCs w:val="17"/>
          <w:color w:val="auto"/>
        </w:rPr>
        <w:t>, hereby certify, based on my knowledge</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Annual Report on Form 10-K of Regency Centers Corporation for the year ended </w:t>
      </w:r>
      <w:r>
        <w:rPr>
          <w:rFonts w:ascii="Arial" w:cs="Arial" w:eastAsia="Arial" w:hAnsi="Arial"/>
          <w:sz w:val="17"/>
          <w:szCs w:val="17"/>
          <w:b w:val="1"/>
          <w:bCs w:val="1"/>
          <w:color w:val="auto"/>
        </w:rPr>
        <w:t>December 31, 2012</w:t>
      </w:r>
      <w:r>
        <w:rPr>
          <w:rFonts w:ascii="Arial" w:cs="Arial" w:eastAsia="Arial" w:hAnsi="Arial"/>
          <w:sz w:val="17"/>
          <w:szCs w:val="17"/>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Solely for the purposes of complying with 18 U.S.C. §1350, I, the undersigned Chief Financial Officer of </w:t>
      </w:r>
      <w:r>
        <w:rPr>
          <w:rFonts w:ascii="Arial" w:cs="Arial" w:eastAsia="Arial" w:hAnsi="Arial"/>
          <w:sz w:val="17"/>
          <w:szCs w:val="17"/>
          <w:b w:val="1"/>
          <w:bCs w:val="1"/>
          <w:color w:val="auto"/>
        </w:rPr>
        <w:t>Regency Centers Corporation</w:t>
      </w:r>
      <w:r>
        <w:rPr>
          <w:rFonts w:ascii="Arial" w:cs="Arial" w:eastAsia="Arial" w:hAnsi="Arial"/>
          <w:sz w:val="17"/>
          <w:szCs w:val="17"/>
          <w:color w:val="auto"/>
        </w:rPr>
        <w:t>, hereby certify, based on my knowledge</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Annual Report on Form 10-K of Regency Centers Corporation for the year ended </w:t>
      </w:r>
      <w:r>
        <w:rPr>
          <w:rFonts w:ascii="Arial" w:cs="Arial" w:eastAsia="Arial" w:hAnsi="Arial"/>
          <w:sz w:val="17"/>
          <w:szCs w:val="17"/>
          <w:b w:val="1"/>
          <w:bCs w:val="1"/>
          <w:color w:val="auto"/>
        </w:rPr>
        <w:t>December 31, 2012</w:t>
      </w:r>
      <w:r>
        <w:rPr>
          <w:rFonts w:ascii="Arial" w:cs="Arial" w:eastAsia="Arial" w:hAnsi="Arial"/>
          <w:sz w:val="17"/>
          <w:szCs w:val="17"/>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Lisa Palmer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Palmer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Solely for the purposes of complying with 18 U.S.C. §1350, I, the undersigned Chief Executive Officer of </w:t>
      </w:r>
      <w:r>
        <w:rPr>
          <w:rFonts w:ascii="Arial" w:cs="Arial" w:eastAsia="Arial" w:hAnsi="Arial"/>
          <w:sz w:val="18"/>
          <w:szCs w:val="18"/>
          <w:b w:val="1"/>
          <w:bCs w:val="1"/>
          <w:color w:val="auto"/>
        </w:rPr>
        <w:t>Regency Centers, L.P.</w:t>
      </w:r>
      <w:r>
        <w:rPr>
          <w:rFonts w:ascii="Arial" w:cs="Arial" w:eastAsia="Arial" w:hAnsi="Arial"/>
          <w:sz w:val="18"/>
          <w:szCs w:val="18"/>
          <w:color w:val="auto"/>
        </w:rPr>
        <w:t>, hereby certify, based on my knowledge</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Annual Report on Form 10-K of Regency Centers, L.P. for the year ended </w:t>
      </w:r>
      <w:r>
        <w:rPr>
          <w:rFonts w:ascii="Arial" w:cs="Arial" w:eastAsia="Arial" w:hAnsi="Arial"/>
          <w:sz w:val="18"/>
          <w:szCs w:val="18"/>
          <w:b w:val="1"/>
          <w:bCs w:val="1"/>
          <w:color w:val="auto"/>
        </w:rPr>
        <w:t>December 31, 2012</w:t>
      </w:r>
      <w:r>
        <w:rPr>
          <w:rFonts w:ascii="Arial" w:cs="Arial" w:eastAsia="Arial" w:hAnsi="Arial"/>
          <w:sz w:val="18"/>
          <w:szCs w:val="18"/>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of Regency Centers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partner of registrant</w:t>
      </w:r>
    </w:p>
    <w:p>
      <w:pPr>
        <w:sectPr>
          <w:pgSz w:w="11900" w:h="16838" w:orient="portrait"/>
          <w:cols w:equalWidth="0" w:num="1">
            <w:col w:w="11420"/>
          </w:cols>
          <w:pgMar w:left="240" w:top="5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Solely for the purposes of complying with 18 U.S.C. §1350, I, the undersigned Chief Financial Officer of </w:t>
      </w:r>
      <w:r>
        <w:rPr>
          <w:rFonts w:ascii="Arial" w:cs="Arial" w:eastAsia="Arial" w:hAnsi="Arial"/>
          <w:sz w:val="18"/>
          <w:szCs w:val="18"/>
          <w:b w:val="1"/>
          <w:bCs w:val="1"/>
          <w:color w:val="auto"/>
        </w:rPr>
        <w:t>Regency Centers, L.P.</w:t>
      </w:r>
      <w:r>
        <w:rPr>
          <w:rFonts w:ascii="Arial" w:cs="Arial" w:eastAsia="Arial" w:hAnsi="Arial"/>
          <w:sz w:val="18"/>
          <w:szCs w:val="18"/>
          <w:color w:val="auto"/>
        </w:rPr>
        <w:t>, hereby certify, based on my knowledge</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Annual Report on Form 10-K of Regency Centers, L.P. for the year ended </w:t>
      </w:r>
      <w:r>
        <w:rPr>
          <w:rFonts w:ascii="Arial" w:cs="Arial" w:eastAsia="Arial" w:hAnsi="Arial"/>
          <w:sz w:val="18"/>
          <w:szCs w:val="18"/>
          <w:b w:val="1"/>
          <w:bCs w:val="1"/>
          <w:color w:val="auto"/>
        </w:rPr>
        <w:t>December 31, 2012</w:t>
      </w:r>
      <w:r>
        <w:rPr>
          <w:rFonts w:ascii="Arial" w:cs="Arial" w:eastAsia="Arial" w:hAnsi="Arial"/>
          <w:sz w:val="18"/>
          <w:szCs w:val="18"/>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Palmer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of Regency Centers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partner of registrant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Ÿ"/>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Roman"/>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lowerLetter"/>
      <w:start w:val="13"/>
    </w:lvl>
  </w:abstractNum>
  <w:abstractNum w:abstractNumId="38">
    <w:nsid w:val="275AC794"/>
    <w:multiLevelType w:val="hybridMultilevel"/>
    <w:lvl w:ilvl="0">
      <w:lvlJc w:val="left"/>
      <w:lvlText w:val="%1."/>
      <w:numFmt w:val="decimal"/>
      <w:start w:val="2"/>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3"/>
    </w:lvl>
  </w:abstractNum>
  <w:abstractNum w:abstractNumId="41">
    <w:nsid w:val="180115BE"/>
    <w:multiLevelType w:val="hybridMultilevel"/>
    <w:lvl w:ilvl="0">
      <w:lvlJc w:val="left"/>
      <w:lvlText w:val="%1"/>
      <w:numFmt w:val="decimal"/>
      <w:start w:val="1"/>
    </w:lvl>
    <w:lvl w:ilvl="1">
      <w:lvlJc w:val="left"/>
      <w:lvlText w:val="(%2)"/>
      <w:numFmt w:val="decimal"/>
      <w:start w:val="1"/>
    </w:lvl>
  </w:abstractNum>
  <w:abstractNum w:abstractNumId="42">
    <w:nsid w:val="235BA861"/>
    <w:multiLevelType w:val="hybridMultilevel"/>
    <w:lvl w:ilvl="0">
      <w:lvlJc w:val="left"/>
      <w:lvlText w:val="%1."/>
      <w:numFmt w:val="decimal"/>
      <w:start w:val="4"/>
    </w:lvl>
    <w:lvl w:ilvl="1">
      <w:lvlJc w:val="left"/>
      <w:lvlText w:val="%2"/>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5"/>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0"/>
    </w:lvl>
    <w:lvl w:ilvl="1">
      <w:lvlJc w:val="left"/>
      <w:lvlText w:val="(%2)"/>
      <w:numFmt w:val="lowerLetter"/>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decimal"/>
      <w:start w:val="13"/>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1DBABF0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9">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0">
    <w:nsid w:val="1F48EAA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1">
    <w:nsid w:val="1381823A"/>
    <w:multiLevelType w:val="hybridMultilevel"/>
    <w:lvl w:ilvl="0">
      <w:lvlJc w:val="left"/>
      <w:lvlText w:val="(%1)"/>
      <w:numFmt w:val="lowerLetter"/>
      <w:start w:val="7"/>
    </w:lvl>
    <w:lvl w:ilvl="1">
      <w:lvlJc w:val="left"/>
      <w:lvlText w:val="(%2)"/>
      <w:numFmt w:val="lowerRoman"/>
      <w:start w:val="1"/>
    </w:lvl>
  </w:abstractNum>
  <w:abstractNum w:abstractNumId="62">
    <w:nsid w:val="5DB70AE5"/>
    <w:multiLevelType w:val="hybridMultilevel"/>
    <w:lvl w:ilvl="0">
      <w:lvlJc w:val="left"/>
      <w:lvlText w:val="%1"/>
      <w:numFmt w:val="decimal"/>
      <w:start w:val="1"/>
    </w:lvl>
    <w:lvl w:ilvl="1">
      <w:lvlJc w:val="left"/>
      <w:lvlText w:val="(%2)"/>
      <w:numFmt w:val="lowerLetter"/>
      <w:start w:val="11"/>
    </w:lvl>
  </w:abstractNum>
  <w:abstractNum w:abstractNumId="63">
    <w:nsid w:val="100F8FCA"/>
    <w:multiLevelType w:val="hybridMultilevel"/>
    <w:lvl w:ilvl="0">
      <w:lvlJc w:val="left"/>
      <w:lvlText w:val="%1."/>
      <w:numFmt w:val="decimal"/>
      <w:start w:val="12"/>
    </w:lvl>
    <w:lvl w:ilvl="1">
      <w:lvlJc w:val="left"/>
      <w:lvlText w:val="%2"/>
      <w:numFmt w:val="lowerLetter"/>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2019-12-06T09:35:54Z</dcterms:created>
  <dcterms:modified xsi:type="dcterms:W3CDTF">2019-12-06T09:35:54Z</dcterms:modified>
</cp:coreProperties>
</file>